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A1B6E">
      <w:pPr>
        <w:spacing w:after="260" w:line="700" w:lineRule="exact"/>
        <w:ind w:firstLine="1560" w:firstLineChars="300"/>
        <w:rPr>
          <w:rFonts w:ascii="华文中宋" w:hAnsi="华文中宋" w:eastAsia="华文中宋"/>
        </w:rPr>
      </w:pPr>
      <w:r>
        <w:rPr>
          <w:rFonts w:hint="eastAsia" w:ascii="华文中宋" w:hAnsi="华文中宋" w:eastAsia="华文中宋"/>
          <w:color w:val="000000"/>
          <w:sz w:val="52"/>
          <w:lang w:eastAsia="zh-CN"/>
        </w:rPr>
        <w:t>历下区</w:t>
      </w:r>
      <w:r>
        <w:rPr>
          <w:rFonts w:ascii="华文中宋" w:hAnsi="华文中宋" w:eastAsia="华文中宋"/>
          <w:color w:val="000000"/>
          <w:sz w:val="52"/>
        </w:rPr>
        <w:t>优化营商环境招标投标指标重点任务分解表</w:t>
      </w:r>
    </w:p>
    <w:tbl>
      <w:tblPr>
        <w:tblStyle w:val="2"/>
        <w:tblW w:w="143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604"/>
        <w:gridCol w:w="825"/>
        <w:gridCol w:w="1650"/>
        <w:gridCol w:w="5102"/>
        <w:gridCol w:w="3120"/>
        <w:gridCol w:w="1063"/>
        <w:gridCol w:w="2009"/>
      </w:tblGrid>
      <w:tr w14:paraId="48C1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7" w:hRule="atLeast"/>
        </w:trPr>
        <w:tc>
          <w:tcPr>
            <w:tcW w:w="604" w:type="dxa"/>
            <w:vAlign w:val="center"/>
          </w:tcPr>
          <w:p w14:paraId="77A92605">
            <w:pPr>
              <w:tabs>
                <w:tab w:val="left" w:pos="1260"/>
              </w:tabs>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825" w:type="dxa"/>
            <w:vAlign w:val="center"/>
          </w:tcPr>
          <w:p w14:paraId="3363614A">
            <w:pPr>
              <w:tabs>
                <w:tab w:val="left" w:pos="1260"/>
              </w:tabs>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重点任务</w:t>
            </w:r>
          </w:p>
        </w:tc>
        <w:tc>
          <w:tcPr>
            <w:tcW w:w="1650" w:type="dxa"/>
            <w:vAlign w:val="center"/>
          </w:tcPr>
          <w:p w14:paraId="1EE1A190">
            <w:pPr>
              <w:tabs>
                <w:tab w:val="left" w:pos="1260"/>
              </w:tabs>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任务目标</w:t>
            </w:r>
          </w:p>
        </w:tc>
        <w:tc>
          <w:tcPr>
            <w:tcW w:w="5102" w:type="dxa"/>
            <w:vAlign w:val="center"/>
          </w:tcPr>
          <w:p w14:paraId="09CF4B57">
            <w:pPr>
              <w:tabs>
                <w:tab w:val="left" w:pos="1260"/>
              </w:tabs>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具体措施</w:t>
            </w:r>
          </w:p>
        </w:tc>
        <w:tc>
          <w:tcPr>
            <w:tcW w:w="3120" w:type="dxa"/>
            <w:vAlign w:val="center"/>
          </w:tcPr>
          <w:p w14:paraId="6E2141CE">
            <w:pPr>
              <w:tabs>
                <w:tab w:val="left" w:pos="1260"/>
              </w:tabs>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责任分工</w:t>
            </w:r>
          </w:p>
        </w:tc>
        <w:tc>
          <w:tcPr>
            <w:tcW w:w="1063" w:type="dxa"/>
            <w:vAlign w:val="center"/>
          </w:tcPr>
          <w:p w14:paraId="68FB5962">
            <w:pPr>
              <w:tabs>
                <w:tab w:val="left" w:pos="1260"/>
              </w:tabs>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完成时间</w:t>
            </w:r>
          </w:p>
        </w:tc>
        <w:tc>
          <w:tcPr>
            <w:tcW w:w="2009" w:type="dxa"/>
            <w:vAlign w:val="center"/>
          </w:tcPr>
          <w:p w14:paraId="01213A6C">
            <w:pPr>
              <w:tabs>
                <w:tab w:val="left" w:pos="1260"/>
              </w:tabs>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任务来源</w:t>
            </w:r>
          </w:p>
        </w:tc>
      </w:tr>
      <w:tr w14:paraId="7D5E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9" w:hRule="atLeast"/>
        </w:trPr>
        <w:tc>
          <w:tcPr>
            <w:tcW w:w="604" w:type="dxa"/>
            <w:vMerge w:val="restart"/>
            <w:vAlign w:val="center"/>
          </w:tcPr>
          <w:p w14:paraId="2B986BD6">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w:t>
            </w:r>
          </w:p>
        </w:tc>
        <w:tc>
          <w:tcPr>
            <w:tcW w:w="825" w:type="dxa"/>
            <w:vMerge w:val="restart"/>
            <w:vAlign w:val="center"/>
          </w:tcPr>
          <w:p w14:paraId="174103D5">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行政审批核准备案和办事程序</w:t>
            </w:r>
          </w:p>
        </w:tc>
        <w:tc>
          <w:tcPr>
            <w:tcW w:w="1650" w:type="dxa"/>
            <w:vAlign w:val="center"/>
          </w:tcPr>
          <w:p w14:paraId="55066E46">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1.1公开办事程序流程</w:t>
            </w:r>
          </w:p>
        </w:tc>
        <w:tc>
          <w:tcPr>
            <w:tcW w:w="5102" w:type="dxa"/>
            <w:vAlign w:val="center"/>
          </w:tcPr>
          <w:p w14:paraId="32C3F4E8">
            <w:pPr>
              <w:tabs>
                <w:tab w:val="left" w:pos="1260"/>
              </w:tabs>
              <w:jc w:val="left"/>
              <w:rPr>
                <w:rFonts w:hint="default" w:ascii="仿宋" w:hAnsi="仿宋" w:eastAsia="仿宋"/>
                <w:color w:val="000000"/>
                <w:sz w:val="24"/>
                <w:szCs w:val="24"/>
                <w:lang w:val="en-US" w:eastAsia="zh-CN"/>
              </w:rPr>
            </w:pPr>
            <w:r>
              <w:rPr>
                <w:rFonts w:hint="eastAsia" w:ascii="仿宋" w:hAnsi="仿宋" w:eastAsia="仿宋"/>
                <w:color w:val="000000"/>
                <w:sz w:val="24"/>
                <w:szCs w:val="24"/>
              </w:rPr>
              <w:t>各部门单位制定形成所负责的行政审批核准备案程序流程图或明白纸，</w:t>
            </w:r>
            <w:r>
              <w:rPr>
                <w:rFonts w:hint="eastAsia" w:ascii="仿宋" w:hAnsi="仿宋" w:eastAsia="仿宋"/>
                <w:color w:val="000000"/>
                <w:sz w:val="24"/>
                <w:szCs w:val="24"/>
                <w:lang w:eastAsia="zh-CN"/>
              </w:rPr>
              <w:t>并在政府网部门网站上进行公示，并同时报送至区发展和改革局，由区发展和改革局统一汇总后，报市招标投标指标专班。</w:t>
            </w:r>
          </w:p>
        </w:tc>
        <w:tc>
          <w:tcPr>
            <w:tcW w:w="3120" w:type="dxa"/>
            <w:vAlign w:val="center"/>
          </w:tcPr>
          <w:p w14:paraId="0A7C7638">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区行政行政审批服务局将有关资料于</w:t>
            </w:r>
            <w:r>
              <w:rPr>
                <w:rFonts w:hint="eastAsia" w:ascii="仿宋" w:hAnsi="仿宋" w:eastAsia="仿宋"/>
                <w:color w:val="000000"/>
                <w:sz w:val="24"/>
                <w:szCs w:val="24"/>
                <w:lang w:val="en-US" w:eastAsia="zh-CN"/>
              </w:rPr>
              <w:t>9月上旬发送至</w:t>
            </w:r>
            <w:r>
              <w:rPr>
                <w:rFonts w:hint="eastAsia" w:ascii="仿宋" w:hAnsi="仿宋" w:eastAsia="仿宋"/>
                <w:color w:val="000000"/>
                <w:sz w:val="24"/>
                <w:szCs w:val="24"/>
                <w:lang w:eastAsia="zh-CN"/>
              </w:rPr>
              <w:t>区发展和改革局</w:t>
            </w:r>
          </w:p>
        </w:tc>
        <w:tc>
          <w:tcPr>
            <w:tcW w:w="1063" w:type="dxa"/>
            <w:vAlign w:val="center"/>
          </w:tcPr>
          <w:p w14:paraId="4BDC868C">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9月上旬</w:t>
            </w:r>
          </w:p>
        </w:tc>
        <w:tc>
          <w:tcPr>
            <w:tcW w:w="2009" w:type="dxa"/>
            <w:vAlign w:val="center"/>
          </w:tcPr>
          <w:p w14:paraId="30CFAEE4">
            <w:pPr>
              <w:tabs>
                <w:tab w:val="left" w:pos="1260"/>
              </w:tabs>
              <w:jc w:val="center"/>
              <w:rPr>
                <w:rFonts w:hint="eastAsia" w:ascii="仿宋" w:hAnsi="仿宋" w:eastAsia="仿宋"/>
                <w:color w:val="000000"/>
                <w:sz w:val="24"/>
                <w:szCs w:val="24"/>
              </w:rPr>
            </w:pPr>
          </w:p>
        </w:tc>
      </w:tr>
      <w:tr w14:paraId="2D282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70" w:hRule="atLeast"/>
        </w:trPr>
        <w:tc>
          <w:tcPr>
            <w:tcW w:w="604" w:type="dxa"/>
            <w:vMerge w:val="continue"/>
            <w:vAlign w:val="center"/>
          </w:tcPr>
          <w:p w14:paraId="7A4E1536">
            <w:pPr>
              <w:tabs>
                <w:tab w:val="left" w:pos="1260"/>
              </w:tabs>
              <w:jc w:val="center"/>
              <w:rPr>
                <w:rFonts w:hint="eastAsia" w:ascii="仿宋" w:hAnsi="仿宋" w:eastAsia="仿宋"/>
                <w:color w:val="000000"/>
                <w:sz w:val="24"/>
                <w:szCs w:val="24"/>
              </w:rPr>
            </w:pPr>
          </w:p>
        </w:tc>
        <w:tc>
          <w:tcPr>
            <w:tcW w:w="825" w:type="dxa"/>
            <w:vMerge w:val="continue"/>
            <w:vAlign w:val="center"/>
          </w:tcPr>
          <w:p w14:paraId="6395CA27">
            <w:pPr>
              <w:tabs>
                <w:tab w:val="left" w:pos="1260"/>
              </w:tabs>
              <w:jc w:val="center"/>
              <w:rPr>
                <w:rFonts w:hint="eastAsia" w:ascii="仿宋" w:hAnsi="仿宋" w:eastAsia="仿宋"/>
                <w:color w:val="000000"/>
                <w:sz w:val="24"/>
                <w:szCs w:val="24"/>
              </w:rPr>
            </w:pPr>
          </w:p>
        </w:tc>
        <w:tc>
          <w:tcPr>
            <w:tcW w:w="1650" w:type="dxa"/>
            <w:vAlign w:val="center"/>
          </w:tcPr>
          <w:p w14:paraId="7505AD50">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1.2实现行政审批核准备案事项交易服务平台“一网通办”</w:t>
            </w:r>
          </w:p>
        </w:tc>
        <w:tc>
          <w:tcPr>
            <w:tcW w:w="5102" w:type="dxa"/>
            <w:vAlign w:val="center"/>
          </w:tcPr>
          <w:p w14:paraId="268D35A4">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配合上级有关部门将相关行政审批核准备案程序链接到市交易中心网站，实现公共资源交易服务平台涉及招标投标事项“一网通办”。</w:t>
            </w:r>
          </w:p>
        </w:tc>
        <w:tc>
          <w:tcPr>
            <w:tcW w:w="3120" w:type="dxa"/>
            <w:vAlign w:val="center"/>
          </w:tcPr>
          <w:p w14:paraId="2B004039">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区</w:t>
            </w:r>
            <w:r>
              <w:rPr>
                <w:rFonts w:hint="eastAsia" w:ascii="仿宋" w:hAnsi="仿宋" w:eastAsia="仿宋"/>
                <w:color w:val="000000"/>
                <w:sz w:val="24"/>
                <w:szCs w:val="24"/>
              </w:rPr>
              <w:t>行政审批服务局</w:t>
            </w:r>
          </w:p>
        </w:tc>
        <w:tc>
          <w:tcPr>
            <w:tcW w:w="1063" w:type="dxa"/>
            <w:vAlign w:val="center"/>
          </w:tcPr>
          <w:p w14:paraId="4CFCB7B4">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9月上旬</w:t>
            </w:r>
          </w:p>
        </w:tc>
        <w:tc>
          <w:tcPr>
            <w:tcW w:w="2009" w:type="dxa"/>
            <w:vAlign w:val="center"/>
          </w:tcPr>
          <w:p w14:paraId="0A26BAB1">
            <w:pPr>
              <w:tabs>
                <w:tab w:val="left" w:pos="1260"/>
              </w:tabs>
              <w:jc w:val="center"/>
              <w:rPr>
                <w:rFonts w:hint="eastAsia" w:ascii="仿宋" w:hAnsi="仿宋" w:eastAsia="仿宋"/>
                <w:color w:val="000000"/>
                <w:sz w:val="24"/>
                <w:szCs w:val="24"/>
              </w:rPr>
            </w:pPr>
          </w:p>
        </w:tc>
      </w:tr>
      <w:tr w14:paraId="0FA5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50" w:hRule="atLeast"/>
        </w:trPr>
        <w:tc>
          <w:tcPr>
            <w:tcW w:w="604" w:type="dxa"/>
            <w:vAlign w:val="center"/>
          </w:tcPr>
          <w:p w14:paraId="4DC642EA">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w:t>
            </w:r>
          </w:p>
        </w:tc>
        <w:tc>
          <w:tcPr>
            <w:tcW w:w="825" w:type="dxa"/>
            <w:vAlign w:val="center"/>
          </w:tcPr>
          <w:p w14:paraId="6D7C2E4B">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招标投标流程</w:t>
            </w:r>
          </w:p>
        </w:tc>
        <w:tc>
          <w:tcPr>
            <w:tcW w:w="1650" w:type="dxa"/>
            <w:vAlign w:val="center"/>
          </w:tcPr>
          <w:p w14:paraId="7E4EA773">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2.1深化告知承诺制有关工作</w:t>
            </w:r>
          </w:p>
        </w:tc>
        <w:tc>
          <w:tcPr>
            <w:tcW w:w="5102" w:type="dxa"/>
            <w:vAlign w:val="center"/>
          </w:tcPr>
          <w:p w14:paraId="658B9920">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配合上级部门完善本行业领域招标告知承诺程序，明确招标前招标人应当具备的条件、“容缺办理”或“拿地即开工”情况下招标人应具备的条件，形成相关清单</w:t>
            </w:r>
          </w:p>
        </w:tc>
        <w:tc>
          <w:tcPr>
            <w:tcW w:w="3120" w:type="dxa"/>
            <w:vAlign w:val="center"/>
          </w:tcPr>
          <w:p w14:paraId="3035CAEE">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住房和城市建设局负责收集汇总有关材料，并及时将容缺受理等有关事项报送至区发改局</w:t>
            </w:r>
          </w:p>
        </w:tc>
        <w:tc>
          <w:tcPr>
            <w:tcW w:w="1063" w:type="dxa"/>
            <w:vAlign w:val="center"/>
          </w:tcPr>
          <w:p w14:paraId="2E378808">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11</w:t>
            </w:r>
            <w:r>
              <w:rPr>
                <w:rFonts w:hint="eastAsia" w:ascii="仿宋" w:hAnsi="仿宋" w:eastAsia="仿宋"/>
                <w:color w:val="000000"/>
                <w:sz w:val="24"/>
                <w:szCs w:val="24"/>
              </w:rPr>
              <w:t>月上旬</w:t>
            </w:r>
          </w:p>
        </w:tc>
        <w:tc>
          <w:tcPr>
            <w:tcW w:w="2009" w:type="dxa"/>
            <w:vAlign w:val="center"/>
          </w:tcPr>
          <w:p w14:paraId="41F3357C">
            <w:pPr>
              <w:tabs>
                <w:tab w:val="left" w:pos="1260"/>
              </w:tabs>
              <w:jc w:val="center"/>
              <w:rPr>
                <w:rFonts w:hint="eastAsia" w:ascii="仿宋" w:hAnsi="仿宋" w:eastAsia="仿宋"/>
                <w:color w:val="000000"/>
                <w:sz w:val="24"/>
                <w:szCs w:val="24"/>
              </w:rPr>
            </w:pPr>
          </w:p>
        </w:tc>
      </w:tr>
      <w:tr w14:paraId="6A981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04" w:type="dxa"/>
            <w:vMerge w:val="restart"/>
            <w:vAlign w:val="center"/>
          </w:tcPr>
          <w:p w14:paraId="3F2A0878">
            <w:pPr>
              <w:tabs>
                <w:tab w:val="left" w:pos="263"/>
                <w:tab w:val="left" w:pos="1260"/>
              </w:tabs>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2</w:t>
            </w:r>
          </w:p>
        </w:tc>
        <w:tc>
          <w:tcPr>
            <w:tcW w:w="825" w:type="dxa"/>
            <w:vMerge w:val="restart"/>
            <w:vAlign w:val="center"/>
          </w:tcPr>
          <w:p w14:paraId="6B5C2036">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招标投标流程</w:t>
            </w:r>
          </w:p>
        </w:tc>
        <w:tc>
          <w:tcPr>
            <w:tcW w:w="1650" w:type="dxa"/>
            <w:vAlign w:val="center"/>
          </w:tcPr>
          <w:p w14:paraId="014F17FF">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2.2优化全流程网上办理体验</w:t>
            </w:r>
          </w:p>
        </w:tc>
        <w:tc>
          <w:tcPr>
            <w:tcW w:w="5102" w:type="dxa"/>
            <w:vAlign w:val="center"/>
          </w:tcPr>
          <w:p w14:paraId="1C19799E">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配合上级有关行政监督部门按职责分工在现有流程图基础上，结合实际情况，更新本领域交易项目交易流程图、投诉处理流程图等，并在相关网站进行公示</w:t>
            </w:r>
          </w:p>
        </w:tc>
        <w:tc>
          <w:tcPr>
            <w:tcW w:w="3120" w:type="dxa"/>
            <w:vAlign w:val="center"/>
          </w:tcPr>
          <w:p w14:paraId="3D50BE3A">
            <w:pPr>
              <w:tabs>
                <w:tab w:val="left" w:pos="1260"/>
              </w:tabs>
              <w:jc w:val="left"/>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住房和城市建设局、水务局、园林绿化服务中心等部门按职责分工推进落实</w:t>
            </w:r>
          </w:p>
        </w:tc>
        <w:tc>
          <w:tcPr>
            <w:tcW w:w="1063" w:type="dxa"/>
            <w:vAlign w:val="center"/>
          </w:tcPr>
          <w:p w14:paraId="38A10C28">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9月中旬</w:t>
            </w:r>
          </w:p>
        </w:tc>
        <w:tc>
          <w:tcPr>
            <w:tcW w:w="2009" w:type="dxa"/>
            <w:vAlign w:val="center"/>
          </w:tcPr>
          <w:p w14:paraId="0394AC36">
            <w:pPr>
              <w:tabs>
                <w:tab w:val="left" w:pos="1260"/>
              </w:tabs>
              <w:jc w:val="center"/>
              <w:rPr>
                <w:rFonts w:hint="eastAsia" w:ascii="仿宋" w:hAnsi="仿宋" w:eastAsia="仿宋"/>
                <w:color w:val="000000"/>
                <w:sz w:val="24"/>
                <w:szCs w:val="24"/>
              </w:rPr>
            </w:pPr>
          </w:p>
        </w:tc>
      </w:tr>
      <w:tr w14:paraId="6F56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94" w:hRule="atLeast"/>
        </w:trPr>
        <w:tc>
          <w:tcPr>
            <w:tcW w:w="604" w:type="dxa"/>
            <w:vMerge w:val="continue"/>
            <w:vAlign w:val="center"/>
          </w:tcPr>
          <w:p w14:paraId="5307C2F9">
            <w:pPr>
              <w:tabs>
                <w:tab w:val="left" w:pos="1260"/>
              </w:tabs>
              <w:jc w:val="center"/>
              <w:rPr>
                <w:rFonts w:hint="eastAsia" w:ascii="仿宋" w:hAnsi="仿宋" w:eastAsia="仿宋"/>
                <w:color w:val="000000"/>
                <w:sz w:val="24"/>
                <w:szCs w:val="24"/>
              </w:rPr>
            </w:pPr>
          </w:p>
        </w:tc>
        <w:tc>
          <w:tcPr>
            <w:tcW w:w="825" w:type="dxa"/>
            <w:vMerge w:val="continue"/>
            <w:vAlign w:val="center"/>
          </w:tcPr>
          <w:p w14:paraId="1A783914">
            <w:pPr>
              <w:tabs>
                <w:tab w:val="left" w:pos="1260"/>
              </w:tabs>
              <w:jc w:val="center"/>
              <w:rPr>
                <w:rFonts w:hint="eastAsia" w:ascii="仿宋" w:hAnsi="仿宋" w:eastAsia="仿宋"/>
                <w:color w:val="000000"/>
                <w:sz w:val="24"/>
                <w:szCs w:val="24"/>
              </w:rPr>
            </w:pPr>
          </w:p>
        </w:tc>
        <w:tc>
          <w:tcPr>
            <w:tcW w:w="1650" w:type="dxa"/>
            <w:vAlign w:val="center"/>
          </w:tcPr>
          <w:p w14:paraId="6B16384D">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创新优化招投标流程</w:t>
            </w:r>
          </w:p>
        </w:tc>
        <w:tc>
          <w:tcPr>
            <w:tcW w:w="5102" w:type="dxa"/>
            <w:vAlign w:val="center"/>
          </w:tcPr>
          <w:p w14:paraId="3832F127">
            <w:pPr>
              <w:tabs>
                <w:tab w:val="left" w:pos="1260"/>
              </w:tabs>
              <w:jc w:val="left"/>
              <w:rPr>
                <w:rFonts w:hint="default" w:ascii="仿宋" w:hAnsi="仿宋" w:eastAsia="仿宋"/>
                <w:color w:val="000000"/>
                <w:sz w:val="24"/>
                <w:szCs w:val="24"/>
                <w:lang w:val="en-US" w:eastAsia="zh-CN"/>
              </w:rPr>
            </w:pPr>
            <w:r>
              <w:rPr>
                <w:rFonts w:hint="eastAsia" w:ascii="仿宋" w:hAnsi="仿宋" w:eastAsia="仿宋"/>
                <w:color w:val="000000"/>
                <w:sz w:val="24"/>
                <w:szCs w:val="24"/>
                <w:lang w:eastAsia="zh-CN"/>
              </w:rPr>
              <w:t>各相关单位严格按照上级有关工作部署推进“评定分离”、基于BIM技术招标、远程异地评标等创新工作，加强相关创新做法归纳和宣传</w:t>
            </w:r>
          </w:p>
        </w:tc>
        <w:tc>
          <w:tcPr>
            <w:tcW w:w="3120" w:type="dxa"/>
            <w:vAlign w:val="center"/>
          </w:tcPr>
          <w:p w14:paraId="1D75A734">
            <w:pPr>
              <w:tabs>
                <w:tab w:val="left" w:pos="1260"/>
              </w:tabs>
              <w:jc w:val="left"/>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住房和城市建设局、市政工程服务中心、水务局、园林绿化服务中心相关部门按职责分工推进落实</w:t>
            </w:r>
          </w:p>
        </w:tc>
        <w:tc>
          <w:tcPr>
            <w:tcW w:w="1063" w:type="dxa"/>
            <w:vAlign w:val="center"/>
          </w:tcPr>
          <w:p w14:paraId="55F5531B">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10月底</w:t>
            </w:r>
          </w:p>
        </w:tc>
        <w:tc>
          <w:tcPr>
            <w:tcW w:w="2009" w:type="dxa"/>
            <w:vAlign w:val="center"/>
          </w:tcPr>
          <w:p w14:paraId="4CD9067C">
            <w:pPr>
              <w:tabs>
                <w:tab w:val="left" w:pos="1260"/>
              </w:tabs>
              <w:jc w:val="center"/>
              <w:rPr>
                <w:rFonts w:hint="eastAsia" w:ascii="仿宋" w:hAnsi="仿宋" w:eastAsia="仿宋"/>
                <w:color w:val="000000"/>
                <w:sz w:val="24"/>
                <w:szCs w:val="24"/>
              </w:rPr>
            </w:pPr>
          </w:p>
        </w:tc>
      </w:tr>
      <w:tr w14:paraId="66D2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79" w:hRule="atLeast"/>
        </w:trPr>
        <w:tc>
          <w:tcPr>
            <w:tcW w:w="604" w:type="dxa"/>
            <w:vMerge w:val="restart"/>
            <w:vAlign w:val="center"/>
          </w:tcPr>
          <w:p w14:paraId="6F302744">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3</w:t>
            </w:r>
          </w:p>
          <w:p w14:paraId="6B6776E6">
            <w:pPr>
              <w:tabs>
                <w:tab w:val="left" w:pos="1260"/>
              </w:tabs>
              <w:jc w:val="center"/>
              <w:rPr>
                <w:rFonts w:hint="eastAsia" w:ascii="仿宋" w:hAnsi="仿宋" w:eastAsia="仿宋"/>
                <w:color w:val="000000"/>
                <w:sz w:val="24"/>
                <w:szCs w:val="24"/>
              </w:rPr>
            </w:pPr>
          </w:p>
        </w:tc>
        <w:tc>
          <w:tcPr>
            <w:tcW w:w="825" w:type="dxa"/>
            <w:vMerge w:val="restart"/>
            <w:vAlign w:val="center"/>
          </w:tcPr>
          <w:p w14:paraId="12B5DD7B">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公开透明度</w:t>
            </w:r>
          </w:p>
        </w:tc>
        <w:tc>
          <w:tcPr>
            <w:tcW w:w="1650" w:type="dxa"/>
            <w:vMerge w:val="restart"/>
            <w:vAlign w:val="center"/>
          </w:tcPr>
          <w:p w14:paraId="0B38D852">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3.1政策信息统一归集</w:t>
            </w:r>
          </w:p>
        </w:tc>
        <w:tc>
          <w:tcPr>
            <w:tcW w:w="5102" w:type="dxa"/>
            <w:vAlign w:val="center"/>
          </w:tcPr>
          <w:p w14:paraId="2AF8BDBB">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强化日常招标投标工作宣传，通过工作群等渠道广泛宣传招投标政策和优质环境</w:t>
            </w:r>
          </w:p>
        </w:tc>
        <w:tc>
          <w:tcPr>
            <w:tcW w:w="3120" w:type="dxa"/>
            <w:vMerge w:val="restart"/>
            <w:vAlign w:val="center"/>
          </w:tcPr>
          <w:p w14:paraId="160FA5F5">
            <w:pPr>
              <w:tabs>
                <w:tab w:val="left" w:pos="1260"/>
              </w:tabs>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eastAsia="zh-CN"/>
              </w:rPr>
              <w:t>区行政审批服务局、住房和城市建设局、市政工程服务中心、水务局、园林绿化服务中心按职责分工推进落实</w:t>
            </w:r>
          </w:p>
        </w:tc>
        <w:tc>
          <w:tcPr>
            <w:tcW w:w="1063" w:type="dxa"/>
            <w:vMerge w:val="restart"/>
            <w:vAlign w:val="center"/>
          </w:tcPr>
          <w:p w14:paraId="09EB3132">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11</w:t>
            </w:r>
            <w:r>
              <w:rPr>
                <w:rFonts w:hint="eastAsia" w:ascii="仿宋" w:hAnsi="仿宋" w:eastAsia="仿宋"/>
                <w:color w:val="000000"/>
                <w:sz w:val="24"/>
                <w:szCs w:val="24"/>
              </w:rPr>
              <w:t>月底</w:t>
            </w:r>
          </w:p>
        </w:tc>
        <w:tc>
          <w:tcPr>
            <w:tcW w:w="2009" w:type="dxa"/>
            <w:vMerge w:val="restart"/>
            <w:vAlign w:val="center"/>
          </w:tcPr>
          <w:p w14:paraId="41FE147D">
            <w:pPr>
              <w:tabs>
                <w:tab w:val="left" w:pos="1260"/>
              </w:tabs>
              <w:jc w:val="center"/>
              <w:rPr>
                <w:rFonts w:hint="eastAsia" w:ascii="仿宋" w:hAnsi="仿宋" w:eastAsia="仿宋"/>
                <w:color w:val="000000"/>
                <w:sz w:val="24"/>
                <w:szCs w:val="24"/>
              </w:rPr>
            </w:pPr>
          </w:p>
        </w:tc>
      </w:tr>
      <w:tr w14:paraId="0F8A0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7" w:hRule="atLeast"/>
        </w:trPr>
        <w:tc>
          <w:tcPr>
            <w:tcW w:w="604" w:type="dxa"/>
            <w:vMerge w:val="continue"/>
            <w:vAlign w:val="center"/>
          </w:tcPr>
          <w:p w14:paraId="080E16E8">
            <w:pPr>
              <w:tabs>
                <w:tab w:val="left" w:pos="1260"/>
              </w:tabs>
              <w:jc w:val="center"/>
              <w:rPr>
                <w:rFonts w:hint="eastAsia" w:ascii="仿宋" w:hAnsi="仿宋" w:eastAsia="仿宋"/>
                <w:color w:val="000000"/>
                <w:sz w:val="24"/>
                <w:szCs w:val="24"/>
              </w:rPr>
            </w:pPr>
          </w:p>
        </w:tc>
        <w:tc>
          <w:tcPr>
            <w:tcW w:w="825" w:type="dxa"/>
            <w:vMerge w:val="continue"/>
            <w:vAlign w:val="center"/>
          </w:tcPr>
          <w:p w14:paraId="7CC970D9">
            <w:pPr>
              <w:tabs>
                <w:tab w:val="left" w:pos="1260"/>
              </w:tabs>
              <w:jc w:val="center"/>
              <w:rPr>
                <w:rFonts w:hint="eastAsia" w:ascii="仿宋" w:hAnsi="仿宋" w:eastAsia="仿宋"/>
                <w:color w:val="000000"/>
                <w:sz w:val="24"/>
                <w:szCs w:val="24"/>
              </w:rPr>
            </w:pPr>
          </w:p>
        </w:tc>
        <w:tc>
          <w:tcPr>
            <w:tcW w:w="1650" w:type="dxa"/>
            <w:vMerge w:val="continue"/>
            <w:vAlign w:val="center"/>
          </w:tcPr>
          <w:p w14:paraId="377CE391">
            <w:pPr>
              <w:tabs>
                <w:tab w:val="left" w:pos="1260"/>
              </w:tabs>
              <w:jc w:val="center"/>
              <w:rPr>
                <w:rFonts w:hint="eastAsia" w:ascii="仿宋" w:hAnsi="仿宋" w:eastAsia="仿宋"/>
                <w:color w:val="000000"/>
                <w:sz w:val="24"/>
                <w:szCs w:val="24"/>
              </w:rPr>
            </w:pPr>
          </w:p>
        </w:tc>
        <w:tc>
          <w:tcPr>
            <w:tcW w:w="5102" w:type="dxa"/>
            <w:vAlign w:val="center"/>
          </w:tcPr>
          <w:p w14:paraId="60526439">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强化政策信息归集，对本行业领域相关政策信息、市场主体管理信息（信用评价等）进行梳理归纳</w:t>
            </w:r>
          </w:p>
        </w:tc>
        <w:tc>
          <w:tcPr>
            <w:tcW w:w="3120" w:type="dxa"/>
            <w:vMerge w:val="continue"/>
            <w:vAlign w:val="center"/>
          </w:tcPr>
          <w:p w14:paraId="7CA23C99">
            <w:pPr>
              <w:tabs>
                <w:tab w:val="left" w:pos="1260"/>
              </w:tabs>
              <w:jc w:val="left"/>
              <w:rPr>
                <w:rFonts w:hint="eastAsia" w:ascii="仿宋" w:hAnsi="仿宋" w:eastAsia="仿宋"/>
                <w:color w:val="000000"/>
                <w:sz w:val="24"/>
                <w:szCs w:val="24"/>
                <w:lang w:eastAsia="zh-CN"/>
              </w:rPr>
            </w:pPr>
          </w:p>
        </w:tc>
        <w:tc>
          <w:tcPr>
            <w:tcW w:w="1063" w:type="dxa"/>
            <w:vMerge w:val="continue"/>
            <w:vAlign w:val="center"/>
          </w:tcPr>
          <w:p w14:paraId="31FD1A72">
            <w:pPr>
              <w:tabs>
                <w:tab w:val="left" w:pos="1260"/>
              </w:tabs>
              <w:jc w:val="center"/>
              <w:rPr>
                <w:rFonts w:hint="eastAsia" w:ascii="仿宋" w:hAnsi="仿宋" w:eastAsia="仿宋"/>
                <w:color w:val="000000"/>
                <w:sz w:val="24"/>
                <w:szCs w:val="24"/>
              </w:rPr>
            </w:pPr>
          </w:p>
        </w:tc>
        <w:tc>
          <w:tcPr>
            <w:tcW w:w="2009" w:type="dxa"/>
            <w:vMerge w:val="continue"/>
            <w:vAlign w:val="center"/>
          </w:tcPr>
          <w:p w14:paraId="740E7C06">
            <w:pPr>
              <w:tabs>
                <w:tab w:val="left" w:pos="1260"/>
              </w:tabs>
              <w:jc w:val="center"/>
              <w:rPr>
                <w:rFonts w:hint="eastAsia" w:ascii="仿宋" w:hAnsi="仿宋" w:eastAsia="仿宋"/>
                <w:color w:val="000000"/>
                <w:sz w:val="24"/>
                <w:szCs w:val="24"/>
              </w:rPr>
            </w:pPr>
          </w:p>
        </w:tc>
      </w:tr>
      <w:tr w14:paraId="0025A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83" w:hRule="atLeast"/>
        </w:trPr>
        <w:tc>
          <w:tcPr>
            <w:tcW w:w="604" w:type="dxa"/>
            <w:vMerge w:val="restart"/>
            <w:vAlign w:val="center"/>
          </w:tcPr>
          <w:p w14:paraId="48406B34">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3</w:t>
            </w:r>
          </w:p>
          <w:p w14:paraId="67C275AE">
            <w:pPr>
              <w:tabs>
                <w:tab w:val="left" w:pos="1260"/>
              </w:tabs>
              <w:jc w:val="center"/>
              <w:rPr>
                <w:rFonts w:hint="eastAsia" w:ascii="仿宋" w:hAnsi="仿宋" w:eastAsia="仿宋"/>
                <w:color w:val="000000"/>
                <w:sz w:val="24"/>
                <w:szCs w:val="24"/>
              </w:rPr>
            </w:pPr>
          </w:p>
        </w:tc>
        <w:tc>
          <w:tcPr>
            <w:tcW w:w="825" w:type="dxa"/>
            <w:vMerge w:val="restart"/>
            <w:vAlign w:val="center"/>
          </w:tcPr>
          <w:p w14:paraId="718D512F">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公开透明度</w:t>
            </w:r>
          </w:p>
        </w:tc>
        <w:tc>
          <w:tcPr>
            <w:tcW w:w="1650" w:type="dxa"/>
            <w:vAlign w:val="center"/>
          </w:tcPr>
          <w:p w14:paraId="50B87B1C">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3.2拓展信息公开内容</w:t>
            </w:r>
          </w:p>
        </w:tc>
        <w:tc>
          <w:tcPr>
            <w:tcW w:w="5102" w:type="dxa"/>
            <w:vAlign w:val="center"/>
          </w:tcPr>
          <w:p w14:paraId="65F8E778">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rPr>
              <w:t>按照《山东省公共资源交易领域政府信息主动公开目录》要求，逐项梳理公共资源交易领域公开事项，</w:t>
            </w:r>
            <w:r>
              <w:rPr>
                <w:rFonts w:hint="eastAsia" w:ascii="仿宋" w:hAnsi="仿宋" w:eastAsia="仿宋"/>
                <w:color w:val="000000"/>
                <w:sz w:val="24"/>
                <w:szCs w:val="24"/>
                <w:lang w:eastAsia="zh-CN"/>
              </w:rPr>
              <w:t>按照上级有关工作部署，</w:t>
            </w:r>
            <w:r>
              <w:rPr>
                <w:rFonts w:hint="eastAsia" w:ascii="仿宋" w:hAnsi="仿宋" w:eastAsia="仿宋"/>
                <w:color w:val="000000"/>
                <w:sz w:val="24"/>
                <w:szCs w:val="24"/>
              </w:rPr>
              <w:t>实现合同订立、违法违规处罚等信息“应公开、尽公开”</w:t>
            </w:r>
          </w:p>
        </w:tc>
        <w:tc>
          <w:tcPr>
            <w:tcW w:w="3120" w:type="dxa"/>
            <w:vAlign w:val="center"/>
          </w:tcPr>
          <w:p w14:paraId="1828BFEE">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w:t>
            </w:r>
            <w:r>
              <w:rPr>
                <w:rFonts w:hint="eastAsia" w:ascii="仿宋" w:hAnsi="仿宋" w:eastAsia="仿宋"/>
                <w:color w:val="000000"/>
                <w:sz w:val="24"/>
                <w:szCs w:val="24"/>
              </w:rPr>
              <w:t>自然资源局、</w:t>
            </w:r>
            <w:r>
              <w:rPr>
                <w:rFonts w:hint="eastAsia" w:ascii="仿宋" w:hAnsi="仿宋" w:eastAsia="仿宋"/>
                <w:color w:val="000000"/>
                <w:sz w:val="24"/>
                <w:szCs w:val="24"/>
                <w:lang w:eastAsia="zh-CN"/>
              </w:rPr>
              <w:t>住房和城市建设局</w:t>
            </w:r>
            <w:r>
              <w:rPr>
                <w:rFonts w:hint="eastAsia" w:ascii="仿宋" w:hAnsi="仿宋" w:eastAsia="仿宋"/>
                <w:color w:val="000000"/>
                <w:sz w:val="24"/>
                <w:szCs w:val="24"/>
              </w:rPr>
              <w:t>、</w:t>
            </w:r>
            <w:r>
              <w:rPr>
                <w:rFonts w:hint="eastAsia" w:ascii="仿宋" w:hAnsi="仿宋" w:eastAsia="仿宋"/>
                <w:color w:val="000000"/>
                <w:sz w:val="24"/>
                <w:szCs w:val="24"/>
                <w:lang w:eastAsia="zh-CN"/>
              </w:rPr>
              <w:t>市政工程服务中心、水务局、园林绿化服务中心等部门</w:t>
            </w:r>
            <w:r>
              <w:rPr>
                <w:rFonts w:hint="eastAsia" w:ascii="仿宋" w:hAnsi="仿宋" w:eastAsia="仿宋"/>
                <w:color w:val="000000"/>
                <w:sz w:val="24"/>
                <w:szCs w:val="24"/>
              </w:rPr>
              <w:t>按职责分工</w:t>
            </w:r>
            <w:r>
              <w:rPr>
                <w:rFonts w:hint="eastAsia" w:ascii="仿宋" w:hAnsi="仿宋" w:eastAsia="仿宋"/>
                <w:color w:val="000000"/>
                <w:sz w:val="24"/>
                <w:szCs w:val="24"/>
                <w:lang w:eastAsia="zh-CN"/>
              </w:rPr>
              <w:t>加以落实</w:t>
            </w:r>
          </w:p>
        </w:tc>
        <w:tc>
          <w:tcPr>
            <w:tcW w:w="1063" w:type="dxa"/>
            <w:vAlign w:val="center"/>
          </w:tcPr>
          <w:p w14:paraId="5F52E02C">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12</w:t>
            </w:r>
            <w:r>
              <w:rPr>
                <w:rFonts w:hint="eastAsia" w:ascii="仿宋" w:hAnsi="仿宋" w:eastAsia="仿宋"/>
                <w:color w:val="000000"/>
                <w:sz w:val="24"/>
                <w:szCs w:val="24"/>
              </w:rPr>
              <w:t>月底</w:t>
            </w:r>
          </w:p>
        </w:tc>
        <w:tc>
          <w:tcPr>
            <w:tcW w:w="2009" w:type="dxa"/>
            <w:vAlign w:val="center"/>
          </w:tcPr>
          <w:p w14:paraId="480CD7C1">
            <w:pPr>
              <w:tabs>
                <w:tab w:val="left" w:pos="1260"/>
              </w:tabs>
              <w:jc w:val="center"/>
              <w:rPr>
                <w:rFonts w:hint="eastAsia" w:ascii="仿宋" w:hAnsi="仿宋" w:eastAsia="仿宋"/>
                <w:color w:val="000000"/>
                <w:sz w:val="24"/>
                <w:szCs w:val="24"/>
              </w:rPr>
            </w:pPr>
          </w:p>
        </w:tc>
      </w:tr>
      <w:tr w14:paraId="7E27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15" w:hRule="atLeast"/>
        </w:trPr>
        <w:tc>
          <w:tcPr>
            <w:tcW w:w="604" w:type="dxa"/>
            <w:vMerge w:val="continue"/>
            <w:vAlign w:val="center"/>
          </w:tcPr>
          <w:p w14:paraId="439959FA">
            <w:pPr>
              <w:tabs>
                <w:tab w:val="left" w:pos="1260"/>
              </w:tabs>
              <w:jc w:val="center"/>
              <w:rPr>
                <w:rFonts w:hint="eastAsia" w:ascii="仿宋" w:hAnsi="仿宋" w:eastAsia="仿宋"/>
                <w:color w:val="000000"/>
                <w:sz w:val="24"/>
                <w:szCs w:val="24"/>
              </w:rPr>
            </w:pPr>
          </w:p>
        </w:tc>
        <w:tc>
          <w:tcPr>
            <w:tcW w:w="825" w:type="dxa"/>
            <w:vMerge w:val="continue"/>
            <w:vAlign w:val="center"/>
          </w:tcPr>
          <w:p w14:paraId="2E003050">
            <w:pPr>
              <w:tabs>
                <w:tab w:val="left" w:pos="1260"/>
              </w:tabs>
              <w:jc w:val="center"/>
              <w:rPr>
                <w:rFonts w:hint="eastAsia" w:ascii="仿宋" w:hAnsi="仿宋" w:eastAsia="仿宋"/>
                <w:color w:val="000000"/>
                <w:sz w:val="24"/>
                <w:szCs w:val="24"/>
              </w:rPr>
            </w:pPr>
          </w:p>
        </w:tc>
        <w:tc>
          <w:tcPr>
            <w:tcW w:w="1650" w:type="dxa"/>
            <w:vAlign w:val="center"/>
          </w:tcPr>
          <w:p w14:paraId="381B4E55">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3.3丰富信息获取方式</w:t>
            </w:r>
          </w:p>
        </w:tc>
        <w:tc>
          <w:tcPr>
            <w:tcW w:w="5102" w:type="dxa"/>
            <w:vAlign w:val="center"/>
          </w:tcPr>
          <w:p w14:paraId="297F7A56">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各</w:t>
            </w:r>
            <w:r>
              <w:rPr>
                <w:rFonts w:hint="eastAsia" w:ascii="仿宋" w:hAnsi="仿宋" w:eastAsia="仿宋"/>
                <w:color w:val="000000"/>
                <w:sz w:val="24"/>
                <w:szCs w:val="24"/>
              </w:rPr>
              <w:t>行政监督部门充分利用本行业、</w:t>
            </w:r>
            <w:r>
              <w:rPr>
                <w:rFonts w:hint="eastAsia" w:ascii="仿宋" w:hAnsi="仿宋" w:eastAsia="仿宋"/>
                <w:color w:val="000000"/>
                <w:sz w:val="24"/>
                <w:szCs w:val="24"/>
                <w:lang w:eastAsia="zh-CN"/>
              </w:rPr>
              <w:t>上级</w:t>
            </w:r>
            <w:r>
              <w:rPr>
                <w:rFonts w:hint="eastAsia" w:ascii="仿宋" w:hAnsi="仿宋" w:eastAsia="仿宋"/>
                <w:color w:val="000000"/>
                <w:sz w:val="24"/>
                <w:szCs w:val="24"/>
              </w:rPr>
              <w:t>部门微信公众平台、小程序、APP等方式，丰富市场主体获取公共资源交易信息方式</w:t>
            </w:r>
          </w:p>
        </w:tc>
        <w:tc>
          <w:tcPr>
            <w:tcW w:w="3120" w:type="dxa"/>
            <w:vAlign w:val="center"/>
          </w:tcPr>
          <w:p w14:paraId="6DE121C2">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rPr>
              <w:t>有关行政监督部门按职责分工</w:t>
            </w:r>
            <w:r>
              <w:rPr>
                <w:rFonts w:hint="eastAsia" w:ascii="仿宋" w:hAnsi="仿宋" w:eastAsia="仿宋"/>
                <w:color w:val="000000"/>
                <w:sz w:val="24"/>
                <w:szCs w:val="24"/>
                <w:lang w:eastAsia="zh-CN"/>
              </w:rPr>
              <w:t>做好相关配合工作</w:t>
            </w:r>
          </w:p>
        </w:tc>
        <w:tc>
          <w:tcPr>
            <w:tcW w:w="1063" w:type="dxa"/>
            <w:vAlign w:val="center"/>
          </w:tcPr>
          <w:p w14:paraId="636D9835">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9月底</w:t>
            </w:r>
          </w:p>
        </w:tc>
        <w:tc>
          <w:tcPr>
            <w:tcW w:w="2009" w:type="dxa"/>
            <w:vAlign w:val="center"/>
          </w:tcPr>
          <w:p w14:paraId="4ED87067">
            <w:pPr>
              <w:tabs>
                <w:tab w:val="left" w:pos="1260"/>
              </w:tabs>
              <w:jc w:val="center"/>
              <w:rPr>
                <w:rFonts w:hint="eastAsia" w:ascii="仿宋" w:hAnsi="仿宋" w:eastAsia="仿宋"/>
                <w:color w:val="000000"/>
                <w:sz w:val="24"/>
                <w:szCs w:val="24"/>
              </w:rPr>
            </w:pPr>
          </w:p>
        </w:tc>
      </w:tr>
      <w:tr w14:paraId="077D1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0" w:hRule="atLeast"/>
        </w:trPr>
        <w:tc>
          <w:tcPr>
            <w:tcW w:w="604" w:type="dxa"/>
            <w:vMerge w:val="restart"/>
            <w:vAlign w:val="center"/>
          </w:tcPr>
          <w:p w14:paraId="61411596">
            <w:pPr>
              <w:tabs>
                <w:tab w:val="left" w:pos="1260"/>
              </w:tabs>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p>
        </w:tc>
        <w:tc>
          <w:tcPr>
            <w:tcW w:w="825" w:type="dxa"/>
            <w:vMerge w:val="restart"/>
            <w:vAlign w:val="center"/>
          </w:tcPr>
          <w:p w14:paraId="6C93782A">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异议投诉和行政监督</w:t>
            </w:r>
          </w:p>
        </w:tc>
        <w:tc>
          <w:tcPr>
            <w:tcW w:w="1650" w:type="dxa"/>
            <w:vMerge w:val="restart"/>
            <w:vAlign w:val="center"/>
          </w:tcPr>
          <w:p w14:paraId="6E0EA297">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4.1全面推行</w:t>
            </w:r>
          </w:p>
          <w:p w14:paraId="65A178DD">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“双随机一公</w:t>
            </w:r>
          </w:p>
          <w:p w14:paraId="25A08239">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开”监管模式</w:t>
            </w:r>
          </w:p>
        </w:tc>
        <w:tc>
          <w:tcPr>
            <w:tcW w:w="5102" w:type="dxa"/>
            <w:vAlign w:val="center"/>
          </w:tcPr>
          <w:p w14:paraId="1D11D137">
            <w:pPr>
              <w:tabs>
                <w:tab w:val="left" w:pos="1260"/>
              </w:tabs>
              <w:jc w:val="left"/>
              <w:rPr>
                <w:rFonts w:hint="eastAsia" w:ascii="仿宋" w:hAnsi="仿宋" w:eastAsia="仿宋"/>
                <w:color w:val="000000"/>
                <w:sz w:val="24"/>
                <w:szCs w:val="24"/>
                <w:lang w:val="en-US" w:eastAsia="zh-CN"/>
              </w:rPr>
            </w:pPr>
            <w:r>
              <w:rPr>
                <w:rFonts w:hint="eastAsia" w:ascii="仿宋" w:hAnsi="仿宋" w:eastAsia="仿宋"/>
                <w:color w:val="000000"/>
                <w:sz w:val="24"/>
                <w:szCs w:val="24"/>
              </w:rPr>
              <w:t>对依法必须招标的项目开展“</w:t>
            </w:r>
            <w:r>
              <w:rPr>
                <w:rFonts w:hint="eastAsia" w:ascii="仿宋" w:hAnsi="仿宋" w:eastAsia="仿宋"/>
                <w:color w:val="000000"/>
                <w:sz w:val="24"/>
                <w:szCs w:val="24"/>
                <w:lang w:eastAsia="zh-CN"/>
              </w:rPr>
              <w:t>双随机、一公开</w:t>
            </w:r>
            <w:r>
              <w:rPr>
                <w:rFonts w:hint="eastAsia" w:ascii="仿宋" w:hAnsi="仿宋" w:eastAsia="仿宋"/>
                <w:color w:val="000000"/>
                <w:sz w:val="24"/>
                <w:szCs w:val="24"/>
              </w:rPr>
              <w:t>”，重点关注招标公告、招标文件、资格审查、开标评标定标、异议答复、招标投标情况书面报告、招标代理等关键环节、载</w:t>
            </w:r>
            <w:bookmarkStart w:id="0" w:name="_GoBack"/>
            <w:bookmarkEnd w:id="0"/>
            <w:r>
              <w:rPr>
                <w:rFonts w:hint="eastAsia" w:ascii="仿宋" w:hAnsi="仿宋" w:eastAsia="仿宋"/>
                <w:color w:val="000000"/>
                <w:sz w:val="24"/>
                <w:szCs w:val="24"/>
              </w:rPr>
              <w:t>体，严厉打击违法违规行为。</w:t>
            </w:r>
            <w:r>
              <w:rPr>
                <w:rFonts w:hint="eastAsia" w:ascii="仿宋" w:hAnsi="仿宋" w:eastAsia="仿宋"/>
                <w:color w:val="000000"/>
                <w:sz w:val="24"/>
                <w:szCs w:val="24"/>
                <w:lang w:eastAsia="zh-CN"/>
              </w:rPr>
              <w:t>严格执行上级部门</w:t>
            </w:r>
            <w:r>
              <w:rPr>
                <w:rFonts w:hint="eastAsia" w:ascii="仿宋" w:hAnsi="仿宋" w:eastAsia="仿宋"/>
                <w:color w:val="000000"/>
                <w:sz w:val="24"/>
                <w:szCs w:val="24"/>
              </w:rPr>
              <w:t>“</w:t>
            </w:r>
            <w:r>
              <w:rPr>
                <w:rFonts w:hint="eastAsia" w:ascii="仿宋" w:hAnsi="仿宋" w:eastAsia="仿宋"/>
                <w:color w:val="000000"/>
                <w:sz w:val="24"/>
                <w:szCs w:val="24"/>
                <w:lang w:eastAsia="zh-CN"/>
              </w:rPr>
              <w:t>双随机、一公开</w:t>
            </w:r>
            <w:r>
              <w:rPr>
                <w:rFonts w:hint="eastAsia" w:ascii="仿宋" w:hAnsi="仿宋" w:eastAsia="仿宋"/>
                <w:color w:val="000000"/>
                <w:sz w:val="24"/>
                <w:szCs w:val="24"/>
              </w:rPr>
              <w:t>”监管制度建设，合理确定抽查对象、比例、频次，向社会公布后执行</w:t>
            </w:r>
            <w:r>
              <w:rPr>
                <w:rFonts w:hint="eastAsia" w:ascii="仿宋" w:hAnsi="仿宋" w:eastAsia="仿宋"/>
                <w:color w:val="000000"/>
                <w:sz w:val="24"/>
                <w:szCs w:val="24"/>
                <w:lang w:eastAsia="zh-CN"/>
              </w:rPr>
              <w:t>。</w:t>
            </w:r>
          </w:p>
        </w:tc>
        <w:tc>
          <w:tcPr>
            <w:tcW w:w="3120" w:type="dxa"/>
            <w:vMerge w:val="restart"/>
            <w:vAlign w:val="center"/>
          </w:tcPr>
          <w:p w14:paraId="4DAE33FA">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区发展和改革局</w:t>
            </w:r>
            <w:r>
              <w:rPr>
                <w:rFonts w:hint="eastAsia" w:ascii="仿宋" w:hAnsi="仿宋" w:eastAsia="仿宋"/>
                <w:color w:val="000000"/>
                <w:sz w:val="24"/>
                <w:szCs w:val="24"/>
              </w:rPr>
              <w:t>、</w:t>
            </w:r>
            <w:r>
              <w:rPr>
                <w:rFonts w:hint="eastAsia" w:ascii="仿宋" w:hAnsi="仿宋" w:eastAsia="仿宋"/>
                <w:color w:val="000000"/>
                <w:sz w:val="24"/>
                <w:szCs w:val="24"/>
                <w:lang w:eastAsia="zh-CN"/>
              </w:rPr>
              <w:t>住房和城市建设局</w:t>
            </w:r>
            <w:r>
              <w:rPr>
                <w:rFonts w:hint="eastAsia" w:ascii="仿宋" w:hAnsi="仿宋" w:eastAsia="仿宋"/>
                <w:color w:val="000000"/>
                <w:sz w:val="24"/>
                <w:szCs w:val="24"/>
              </w:rPr>
              <w:t>、</w:t>
            </w:r>
            <w:r>
              <w:rPr>
                <w:rFonts w:hint="eastAsia" w:ascii="仿宋" w:hAnsi="仿宋" w:eastAsia="仿宋"/>
                <w:color w:val="000000"/>
                <w:sz w:val="24"/>
                <w:szCs w:val="24"/>
                <w:lang w:eastAsia="zh-CN"/>
              </w:rPr>
              <w:t>市政工程服务中心、水务局、园林绿化服务中心等部门</w:t>
            </w:r>
            <w:r>
              <w:rPr>
                <w:rFonts w:hint="eastAsia" w:ascii="仿宋" w:hAnsi="仿宋" w:eastAsia="仿宋"/>
                <w:color w:val="000000"/>
                <w:sz w:val="24"/>
                <w:szCs w:val="24"/>
              </w:rPr>
              <w:t>按职责分工</w:t>
            </w:r>
            <w:r>
              <w:rPr>
                <w:rFonts w:hint="eastAsia" w:ascii="仿宋" w:hAnsi="仿宋" w:eastAsia="仿宋"/>
                <w:color w:val="000000"/>
                <w:sz w:val="24"/>
                <w:szCs w:val="24"/>
                <w:lang w:eastAsia="zh-CN"/>
              </w:rPr>
              <w:t>做好推进，区发展和改革局负责收集汇总</w:t>
            </w:r>
          </w:p>
        </w:tc>
        <w:tc>
          <w:tcPr>
            <w:tcW w:w="1063" w:type="dxa"/>
            <w:vMerge w:val="restart"/>
            <w:vAlign w:val="center"/>
          </w:tcPr>
          <w:p w14:paraId="10EEEA33">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9月底</w:t>
            </w:r>
          </w:p>
        </w:tc>
        <w:tc>
          <w:tcPr>
            <w:tcW w:w="2009" w:type="dxa"/>
            <w:vMerge w:val="restart"/>
            <w:vAlign w:val="center"/>
          </w:tcPr>
          <w:p w14:paraId="226DA07E">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《国家发展改革委办公厅关于深化公共资源交易平台整合共享2021年重点工作任务的通知》</w:t>
            </w:r>
          </w:p>
          <w:p w14:paraId="71293BD3">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《山东省人民政府关于印发</w:t>
            </w:r>
            <w:r>
              <w:rPr>
                <w:rFonts w:hint="eastAsia" w:ascii="仿宋" w:hAnsi="仿宋" w:eastAsia="仿宋"/>
                <w:color w:val="000000"/>
                <w:sz w:val="24"/>
                <w:szCs w:val="24"/>
                <w:lang w:eastAsia="zh-CN"/>
              </w:rPr>
              <w:t>山东</w:t>
            </w:r>
            <w:r>
              <w:rPr>
                <w:rFonts w:hint="eastAsia" w:ascii="仿宋" w:hAnsi="仿宋" w:eastAsia="仿宋"/>
                <w:color w:val="000000"/>
                <w:sz w:val="24"/>
                <w:szCs w:val="24"/>
              </w:rPr>
              <w:t>省优化营商环境创新突破行动</w:t>
            </w:r>
          </w:p>
          <w:p w14:paraId="5F4DC9FB">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实施方案的通知》</w:t>
            </w:r>
          </w:p>
          <w:p w14:paraId="150CE855">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《济南市招标投标领域建设一流营商环境工作方案》</w:t>
            </w:r>
          </w:p>
        </w:tc>
      </w:tr>
      <w:tr w14:paraId="776F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16" w:hRule="atLeast"/>
        </w:trPr>
        <w:tc>
          <w:tcPr>
            <w:tcW w:w="604" w:type="dxa"/>
            <w:vMerge w:val="continue"/>
            <w:vAlign w:val="center"/>
          </w:tcPr>
          <w:p w14:paraId="7E8945C4">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6BACD1C6">
            <w:pPr>
              <w:tabs>
                <w:tab w:val="left" w:pos="1260"/>
              </w:tabs>
              <w:jc w:val="center"/>
              <w:rPr>
                <w:rFonts w:hint="eastAsia" w:ascii="仿宋" w:hAnsi="仿宋" w:eastAsia="仿宋"/>
                <w:color w:val="000000"/>
                <w:sz w:val="24"/>
                <w:szCs w:val="24"/>
              </w:rPr>
            </w:pPr>
          </w:p>
        </w:tc>
        <w:tc>
          <w:tcPr>
            <w:tcW w:w="1650" w:type="dxa"/>
            <w:vMerge w:val="continue"/>
            <w:vAlign w:val="center"/>
          </w:tcPr>
          <w:p w14:paraId="3994ACD3">
            <w:pPr>
              <w:tabs>
                <w:tab w:val="left" w:pos="1260"/>
              </w:tabs>
              <w:jc w:val="center"/>
              <w:rPr>
                <w:rFonts w:hint="eastAsia" w:ascii="仿宋" w:hAnsi="仿宋" w:eastAsia="仿宋"/>
                <w:color w:val="000000"/>
                <w:sz w:val="24"/>
                <w:szCs w:val="24"/>
              </w:rPr>
            </w:pPr>
          </w:p>
        </w:tc>
        <w:tc>
          <w:tcPr>
            <w:tcW w:w="5102" w:type="dxa"/>
            <w:vAlign w:val="center"/>
          </w:tcPr>
          <w:p w14:paraId="5F91FACC">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rPr>
              <w:t>各有关行政监督部门</w:t>
            </w:r>
            <w:r>
              <w:rPr>
                <w:rFonts w:hint="eastAsia" w:ascii="仿宋" w:hAnsi="仿宋" w:eastAsia="仿宋"/>
                <w:color w:val="000000"/>
                <w:sz w:val="24"/>
                <w:szCs w:val="24"/>
                <w:lang w:eastAsia="zh-CN"/>
              </w:rPr>
              <w:t>立足职能</w:t>
            </w:r>
            <w:r>
              <w:rPr>
                <w:rFonts w:hint="eastAsia" w:ascii="仿宋" w:hAnsi="仿宋" w:eastAsia="仿宋"/>
                <w:color w:val="000000"/>
                <w:sz w:val="24"/>
                <w:szCs w:val="24"/>
              </w:rPr>
              <w:t>完成首批次随机抽查，抽查检查结果通过有关行政监督部门网站及时向社会公开，接受社会监督</w:t>
            </w:r>
          </w:p>
        </w:tc>
        <w:tc>
          <w:tcPr>
            <w:tcW w:w="3120" w:type="dxa"/>
            <w:vMerge w:val="continue"/>
            <w:vAlign w:val="center"/>
          </w:tcPr>
          <w:p w14:paraId="4700F0A6">
            <w:pPr>
              <w:tabs>
                <w:tab w:val="left" w:pos="1260"/>
              </w:tabs>
              <w:jc w:val="left"/>
              <w:rPr>
                <w:rFonts w:hint="eastAsia" w:ascii="仿宋" w:hAnsi="仿宋" w:eastAsia="仿宋"/>
                <w:color w:val="000000"/>
                <w:sz w:val="24"/>
                <w:szCs w:val="24"/>
                <w:lang w:eastAsia="zh-CN"/>
              </w:rPr>
            </w:pPr>
          </w:p>
        </w:tc>
        <w:tc>
          <w:tcPr>
            <w:tcW w:w="1063" w:type="dxa"/>
            <w:vMerge w:val="continue"/>
            <w:vAlign w:val="center"/>
          </w:tcPr>
          <w:p w14:paraId="077C12A5">
            <w:pPr>
              <w:tabs>
                <w:tab w:val="left" w:pos="1260"/>
              </w:tabs>
              <w:jc w:val="center"/>
              <w:rPr>
                <w:rFonts w:hint="eastAsia" w:ascii="仿宋" w:hAnsi="仿宋" w:eastAsia="仿宋"/>
                <w:color w:val="000000"/>
                <w:sz w:val="24"/>
                <w:szCs w:val="24"/>
              </w:rPr>
            </w:pPr>
          </w:p>
        </w:tc>
        <w:tc>
          <w:tcPr>
            <w:tcW w:w="2009" w:type="dxa"/>
            <w:vMerge w:val="continue"/>
            <w:vAlign w:val="center"/>
          </w:tcPr>
          <w:p w14:paraId="758FC913">
            <w:pPr>
              <w:tabs>
                <w:tab w:val="left" w:pos="1260"/>
              </w:tabs>
              <w:jc w:val="center"/>
              <w:rPr>
                <w:rFonts w:hint="eastAsia" w:ascii="仿宋" w:hAnsi="仿宋" w:eastAsia="仿宋"/>
                <w:color w:val="000000"/>
                <w:sz w:val="24"/>
                <w:szCs w:val="24"/>
              </w:rPr>
            </w:pPr>
          </w:p>
        </w:tc>
      </w:tr>
      <w:tr w14:paraId="3982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50" w:hRule="atLeast"/>
        </w:trPr>
        <w:tc>
          <w:tcPr>
            <w:tcW w:w="604" w:type="dxa"/>
            <w:vMerge w:val="continue"/>
            <w:vAlign w:val="center"/>
          </w:tcPr>
          <w:p w14:paraId="2240315A">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12B5B03A">
            <w:pPr>
              <w:tabs>
                <w:tab w:val="left" w:pos="1260"/>
              </w:tabs>
              <w:jc w:val="center"/>
              <w:rPr>
                <w:rFonts w:hint="eastAsia" w:ascii="仿宋" w:hAnsi="仿宋" w:eastAsia="仿宋"/>
                <w:color w:val="000000"/>
                <w:sz w:val="24"/>
                <w:szCs w:val="24"/>
              </w:rPr>
            </w:pPr>
          </w:p>
        </w:tc>
        <w:tc>
          <w:tcPr>
            <w:tcW w:w="1650" w:type="dxa"/>
            <w:vAlign w:val="center"/>
          </w:tcPr>
          <w:p w14:paraId="586CFA38">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val="en-US" w:eastAsia="zh-CN"/>
              </w:rPr>
              <w:t>4.2</w:t>
            </w:r>
            <w:r>
              <w:rPr>
                <w:rFonts w:hint="eastAsia" w:ascii="仿宋" w:hAnsi="仿宋" w:eastAsia="仿宋"/>
                <w:color w:val="000000"/>
                <w:sz w:val="24"/>
                <w:szCs w:val="24"/>
              </w:rPr>
              <w:t>畅通招标投标提出异议渠道</w:t>
            </w:r>
          </w:p>
        </w:tc>
        <w:tc>
          <w:tcPr>
            <w:tcW w:w="5102" w:type="dxa"/>
            <w:vAlign w:val="center"/>
          </w:tcPr>
          <w:p w14:paraId="29B48DE0">
            <w:pPr>
              <w:tabs>
                <w:tab w:val="left" w:pos="1260"/>
              </w:tabs>
              <w:jc w:val="left"/>
              <w:rPr>
                <w:rFonts w:hint="eastAsia" w:ascii="仿宋" w:hAnsi="仿宋" w:eastAsia="仿宋"/>
                <w:color w:val="000000"/>
                <w:sz w:val="24"/>
                <w:szCs w:val="24"/>
              </w:rPr>
            </w:pPr>
            <w:r>
              <w:rPr>
                <w:rFonts w:ascii="仿宋" w:hAnsi="仿宋" w:eastAsia="仿宋"/>
                <w:color w:val="000000"/>
                <w:sz w:val="24"/>
                <w:szCs w:val="24"/>
              </w:rPr>
              <w:t>进一步健全投诉处理机制，统一更新公开《2021年投诉受理联系方式及投诉处理流程图》，探索跨行业部门、与纪检及公安等部门联合执法模式。</w:t>
            </w:r>
          </w:p>
        </w:tc>
        <w:tc>
          <w:tcPr>
            <w:tcW w:w="3120" w:type="dxa"/>
            <w:vMerge w:val="restart"/>
            <w:vAlign w:val="center"/>
          </w:tcPr>
          <w:p w14:paraId="456FCEB4">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区发展和改革局</w:t>
            </w:r>
            <w:r>
              <w:rPr>
                <w:rFonts w:hint="eastAsia" w:ascii="仿宋" w:hAnsi="仿宋" w:eastAsia="仿宋"/>
                <w:color w:val="000000"/>
                <w:sz w:val="24"/>
                <w:szCs w:val="24"/>
              </w:rPr>
              <w:t>、</w:t>
            </w:r>
            <w:r>
              <w:rPr>
                <w:rFonts w:hint="eastAsia" w:ascii="仿宋" w:hAnsi="仿宋" w:eastAsia="仿宋"/>
                <w:color w:val="000000"/>
                <w:sz w:val="24"/>
                <w:szCs w:val="24"/>
                <w:lang w:eastAsia="zh-CN"/>
              </w:rPr>
              <w:t>财政局、住房和城市建设局</w:t>
            </w:r>
            <w:r>
              <w:rPr>
                <w:rFonts w:hint="eastAsia" w:ascii="仿宋" w:hAnsi="仿宋" w:eastAsia="仿宋"/>
                <w:color w:val="000000"/>
                <w:sz w:val="24"/>
                <w:szCs w:val="24"/>
              </w:rPr>
              <w:t>、</w:t>
            </w:r>
            <w:r>
              <w:rPr>
                <w:rFonts w:hint="eastAsia" w:ascii="仿宋" w:hAnsi="仿宋" w:eastAsia="仿宋"/>
                <w:color w:val="000000"/>
                <w:sz w:val="24"/>
                <w:szCs w:val="24"/>
                <w:lang w:eastAsia="zh-CN"/>
              </w:rPr>
              <w:t>水务局、卫健局、医保局</w:t>
            </w:r>
            <w:r>
              <w:rPr>
                <w:rFonts w:hint="eastAsia" w:ascii="仿宋" w:hAnsi="仿宋" w:eastAsia="仿宋"/>
                <w:color w:val="000000"/>
                <w:sz w:val="24"/>
                <w:szCs w:val="24"/>
              </w:rPr>
              <w:t>等</w:t>
            </w:r>
            <w:r>
              <w:rPr>
                <w:rFonts w:hint="eastAsia" w:ascii="仿宋" w:hAnsi="仿宋" w:eastAsia="仿宋"/>
                <w:color w:val="000000"/>
                <w:sz w:val="24"/>
                <w:szCs w:val="24"/>
                <w:lang w:eastAsia="zh-CN"/>
              </w:rPr>
              <w:t>部门</w:t>
            </w:r>
            <w:r>
              <w:rPr>
                <w:rFonts w:hint="eastAsia" w:ascii="仿宋" w:hAnsi="仿宋" w:eastAsia="仿宋"/>
                <w:color w:val="000000"/>
                <w:sz w:val="24"/>
                <w:szCs w:val="24"/>
              </w:rPr>
              <w:t>按职责分工</w:t>
            </w:r>
            <w:r>
              <w:rPr>
                <w:rFonts w:hint="eastAsia" w:ascii="仿宋" w:hAnsi="仿宋" w:eastAsia="仿宋"/>
                <w:color w:val="000000"/>
                <w:sz w:val="24"/>
                <w:szCs w:val="24"/>
                <w:lang w:eastAsia="zh-CN"/>
              </w:rPr>
              <w:t>做好推进</w:t>
            </w:r>
          </w:p>
        </w:tc>
        <w:tc>
          <w:tcPr>
            <w:tcW w:w="1063" w:type="dxa"/>
            <w:vMerge w:val="restart"/>
            <w:vAlign w:val="center"/>
          </w:tcPr>
          <w:p w14:paraId="7E12F996">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9月中旬</w:t>
            </w:r>
          </w:p>
        </w:tc>
        <w:tc>
          <w:tcPr>
            <w:tcW w:w="2009" w:type="dxa"/>
            <w:vMerge w:val="restart"/>
            <w:vAlign w:val="center"/>
          </w:tcPr>
          <w:p w14:paraId="1F22907F">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4.</w:t>
            </w:r>
            <w:r>
              <w:rPr>
                <w:rFonts w:hint="eastAsia" w:ascii="仿宋" w:hAnsi="仿宋" w:eastAsia="仿宋"/>
                <w:color w:val="000000"/>
                <w:sz w:val="24"/>
                <w:szCs w:val="24"/>
                <w:lang w:val="en-US" w:eastAsia="zh-CN"/>
              </w:rPr>
              <w:t>2</w:t>
            </w:r>
            <w:r>
              <w:rPr>
                <w:rFonts w:hint="eastAsia" w:ascii="仿宋" w:hAnsi="仿宋" w:eastAsia="仿宋"/>
                <w:color w:val="000000"/>
                <w:sz w:val="24"/>
                <w:szCs w:val="24"/>
              </w:rPr>
              <w:t>健全投诉处理机制</w:t>
            </w:r>
          </w:p>
        </w:tc>
      </w:tr>
      <w:tr w14:paraId="41A9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34" w:hRule="atLeast"/>
        </w:trPr>
        <w:tc>
          <w:tcPr>
            <w:tcW w:w="604" w:type="dxa"/>
            <w:vMerge w:val="continue"/>
            <w:vAlign w:val="center"/>
          </w:tcPr>
          <w:p w14:paraId="10971062">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0E0DB5C1">
            <w:pPr>
              <w:tabs>
                <w:tab w:val="left" w:pos="1260"/>
              </w:tabs>
              <w:jc w:val="center"/>
              <w:rPr>
                <w:rFonts w:hint="eastAsia" w:ascii="仿宋" w:hAnsi="仿宋" w:eastAsia="仿宋"/>
                <w:color w:val="000000"/>
                <w:sz w:val="24"/>
                <w:szCs w:val="24"/>
              </w:rPr>
            </w:pPr>
          </w:p>
        </w:tc>
        <w:tc>
          <w:tcPr>
            <w:tcW w:w="1650" w:type="dxa"/>
            <w:vAlign w:val="center"/>
          </w:tcPr>
          <w:p w14:paraId="4F720B4C">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4.</w:t>
            </w:r>
            <w:r>
              <w:rPr>
                <w:rFonts w:hint="eastAsia" w:ascii="仿宋" w:hAnsi="仿宋" w:eastAsia="仿宋"/>
                <w:color w:val="000000"/>
                <w:sz w:val="24"/>
                <w:szCs w:val="24"/>
                <w:lang w:val="en-US" w:eastAsia="zh-CN"/>
              </w:rPr>
              <w:t>3</w:t>
            </w:r>
            <w:r>
              <w:rPr>
                <w:rFonts w:hint="eastAsia" w:ascii="仿宋" w:hAnsi="仿宋" w:eastAsia="仿宋"/>
                <w:color w:val="000000"/>
                <w:sz w:val="24"/>
                <w:szCs w:val="24"/>
              </w:rPr>
              <w:t>健全投诉处理机制</w:t>
            </w:r>
          </w:p>
        </w:tc>
        <w:tc>
          <w:tcPr>
            <w:tcW w:w="5102" w:type="dxa"/>
            <w:vAlign w:val="center"/>
          </w:tcPr>
          <w:p w14:paraId="53FCB86C">
            <w:pPr>
              <w:tabs>
                <w:tab w:val="left" w:pos="1260"/>
              </w:tabs>
              <w:jc w:val="left"/>
              <w:rPr>
                <w:rFonts w:ascii="仿宋" w:hAnsi="仿宋" w:eastAsia="仿宋"/>
                <w:color w:val="000000"/>
                <w:sz w:val="24"/>
                <w:szCs w:val="24"/>
              </w:rPr>
            </w:pPr>
            <w:r>
              <w:rPr>
                <w:rFonts w:hint="eastAsia" w:ascii="仿宋" w:hAnsi="仿宋" w:eastAsia="仿宋"/>
                <w:color w:val="000000"/>
                <w:sz w:val="24"/>
                <w:szCs w:val="24"/>
              </w:rPr>
              <w:t>各行政监督部门依法及时对投诉进行受理、调查和处理，并网上公开行政处罚决定。</w:t>
            </w:r>
          </w:p>
        </w:tc>
        <w:tc>
          <w:tcPr>
            <w:tcW w:w="3120" w:type="dxa"/>
            <w:vMerge w:val="continue"/>
            <w:vAlign w:val="center"/>
          </w:tcPr>
          <w:p w14:paraId="6644A924">
            <w:pPr>
              <w:tabs>
                <w:tab w:val="left" w:pos="1260"/>
              </w:tabs>
              <w:jc w:val="left"/>
              <w:rPr>
                <w:rFonts w:hint="eastAsia" w:ascii="仿宋" w:hAnsi="仿宋" w:eastAsia="仿宋"/>
                <w:color w:val="000000"/>
                <w:sz w:val="24"/>
                <w:szCs w:val="24"/>
                <w:lang w:eastAsia="zh-CN"/>
              </w:rPr>
            </w:pPr>
          </w:p>
        </w:tc>
        <w:tc>
          <w:tcPr>
            <w:tcW w:w="1063" w:type="dxa"/>
            <w:vMerge w:val="continue"/>
            <w:vAlign w:val="center"/>
          </w:tcPr>
          <w:p w14:paraId="03A69095">
            <w:pPr>
              <w:tabs>
                <w:tab w:val="left" w:pos="1260"/>
              </w:tabs>
              <w:jc w:val="center"/>
              <w:rPr>
                <w:rFonts w:hint="eastAsia" w:ascii="仿宋" w:hAnsi="仿宋" w:eastAsia="仿宋"/>
                <w:color w:val="000000"/>
                <w:sz w:val="24"/>
                <w:szCs w:val="24"/>
              </w:rPr>
            </w:pPr>
          </w:p>
        </w:tc>
        <w:tc>
          <w:tcPr>
            <w:tcW w:w="2009" w:type="dxa"/>
            <w:vMerge w:val="continue"/>
            <w:vAlign w:val="center"/>
          </w:tcPr>
          <w:p w14:paraId="2BD34861">
            <w:pPr>
              <w:tabs>
                <w:tab w:val="left" w:pos="1260"/>
              </w:tabs>
              <w:jc w:val="center"/>
              <w:rPr>
                <w:rFonts w:hint="eastAsia" w:ascii="仿宋" w:hAnsi="仿宋" w:eastAsia="仿宋"/>
                <w:color w:val="000000"/>
                <w:sz w:val="24"/>
                <w:szCs w:val="24"/>
              </w:rPr>
            </w:pPr>
          </w:p>
        </w:tc>
      </w:tr>
      <w:tr w14:paraId="6C04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6" w:hRule="atLeast"/>
        </w:trPr>
        <w:tc>
          <w:tcPr>
            <w:tcW w:w="604" w:type="dxa"/>
            <w:vMerge w:val="restart"/>
            <w:vAlign w:val="center"/>
          </w:tcPr>
          <w:p w14:paraId="4C13EEC6">
            <w:pPr>
              <w:tabs>
                <w:tab w:val="left" w:pos="1260"/>
              </w:tabs>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4</w:t>
            </w:r>
          </w:p>
        </w:tc>
        <w:tc>
          <w:tcPr>
            <w:tcW w:w="825" w:type="dxa"/>
            <w:vMerge w:val="restart"/>
            <w:vAlign w:val="center"/>
          </w:tcPr>
          <w:p w14:paraId="3FFC1669">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异议</w:t>
            </w:r>
            <w:r>
              <w:rPr>
                <w:rFonts w:hint="eastAsia" w:ascii="仿宋" w:hAnsi="仿宋" w:eastAsia="仿宋"/>
                <w:color w:val="000000"/>
                <w:sz w:val="24"/>
                <w:szCs w:val="24"/>
              </w:rPr>
              <w:t>投诉和行政监督</w:t>
            </w:r>
          </w:p>
        </w:tc>
        <w:tc>
          <w:tcPr>
            <w:tcW w:w="1650" w:type="dxa"/>
            <w:vAlign w:val="center"/>
          </w:tcPr>
          <w:p w14:paraId="7195BE47">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4.4研究制定行政监督职责分工清单</w:t>
            </w:r>
          </w:p>
        </w:tc>
        <w:tc>
          <w:tcPr>
            <w:tcW w:w="5102" w:type="dxa"/>
            <w:vAlign w:val="center"/>
          </w:tcPr>
          <w:p w14:paraId="0ABDA920">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rPr>
              <w:t>按照省级部门印发的行政监督职责分工清单，根据“谁主管、谁监管”的原则，落实我</w:t>
            </w:r>
            <w:r>
              <w:rPr>
                <w:rFonts w:hint="eastAsia" w:ascii="仿宋" w:hAnsi="仿宋" w:eastAsia="仿宋"/>
                <w:color w:val="000000"/>
                <w:sz w:val="24"/>
                <w:szCs w:val="24"/>
                <w:lang w:eastAsia="zh-CN"/>
              </w:rPr>
              <w:t>区</w:t>
            </w:r>
            <w:r>
              <w:rPr>
                <w:rFonts w:hint="eastAsia" w:ascii="仿宋" w:hAnsi="仿宋" w:eastAsia="仿宋"/>
                <w:color w:val="000000"/>
                <w:sz w:val="24"/>
                <w:szCs w:val="24"/>
              </w:rPr>
              <w:t>工业、农业农村、广播电视、能源等行业领域招标投标活动的行政监督职责。各行政监督部门按照监管权责清单行使行政权力、承担责任，不得行使或者变相行使未列入权责清单且无法定依据的行政权力，不得推诿或者怠于履行责任。</w:t>
            </w:r>
          </w:p>
        </w:tc>
        <w:tc>
          <w:tcPr>
            <w:tcW w:w="3120" w:type="dxa"/>
            <w:vAlign w:val="center"/>
          </w:tcPr>
          <w:p w14:paraId="6C7A8F0D">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w:t>
            </w:r>
            <w:r>
              <w:rPr>
                <w:rFonts w:hint="eastAsia" w:ascii="仿宋" w:hAnsi="仿宋" w:eastAsia="仿宋"/>
                <w:color w:val="000000"/>
                <w:sz w:val="24"/>
                <w:szCs w:val="24"/>
              </w:rPr>
              <w:t>工业和信息化局、财政局、自然资源局、市生态环境局</w:t>
            </w:r>
            <w:r>
              <w:rPr>
                <w:rFonts w:hint="eastAsia" w:ascii="仿宋" w:hAnsi="仿宋" w:eastAsia="仿宋"/>
                <w:color w:val="000000"/>
                <w:sz w:val="24"/>
                <w:szCs w:val="24"/>
                <w:lang w:eastAsia="zh-CN"/>
              </w:rPr>
              <w:t>历下分局</w:t>
            </w:r>
            <w:r>
              <w:rPr>
                <w:rFonts w:hint="eastAsia" w:ascii="仿宋" w:hAnsi="仿宋" w:eastAsia="仿宋"/>
                <w:color w:val="000000"/>
                <w:sz w:val="24"/>
                <w:szCs w:val="24"/>
              </w:rPr>
              <w:t>、住房</w:t>
            </w:r>
            <w:r>
              <w:rPr>
                <w:rFonts w:hint="eastAsia" w:ascii="仿宋" w:hAnsi="仿宋" w:eastAsia="仿宋"/>
                <w:color w:val="000000"/>
                <w:sz w:val="24"/>
                <w:szCs w:val="24"/>
                <w:lang w:eastAsia="zh-CN"/>
              </w:rPr>
              <w:t>和</w:t>
            </w:r>
            <w:r>
              <w:rPr>
                <w:rFonts w:hint="eastAsia" w:ascii="仿宋" w:hAnsi="仿宋" w:eastAsia="仿宋"/>
                <w:color w:val="000000"/>
                <w:sz w:val="24"/>
                <w:szCs w:val="24"/>
              </w:rPr>
              <w:t>城</w:t>
            </w:r>
            <w:r>
              <w:rPr>
                <w:rFonts w:hint="eastAsia" w:ascii="仿宋" w:hAnsi="仿宋" w:eastAsia="仿宋"/>
                <w:color w:val="000000"/>
                <w:sz w:val="24"/>
                <w:szCs w:val="24"/>
                <w:lang w:eastAsia="zh-CN"/>
              </w:rPr>
              <w:t>市</w:t>
            </w:r>
            <w:r>
              <w:rPr>
                <w:rFonts w:hint="eastAsia" w:ascii="仿宋" w:hAnsi="仿宋" w:eastAsia="仿宋"/>
                <w:color w:val="000000"/>
                <w:sz w:val="24"/>
                <w:szCs w:val="24"/>
              </w:rPr>
              <w:t>建设局、城管局、</w:t>
            </w:r>
            <w:r>
              <w:rPr>
                <w:rFonts w:hint="eastAsia" w:ascii="仿宋" w:hAnsi="仿宋" w:eastAsia="仿宋"/>
                <w:color w:val="000000"/>
                <w:sz w:val="24"/>
                <w:szCs w:val="24"/>
                <w:lang w:eastAsia="zh-CN"/>
              </w:rPr>
              <w:t>市政工程服务中心</w:t>
            </w:r>
            <w:r>
              <w:rPr>
                <w:rFonts w:hint="eastAsia" w:ascii="仿宋" w:hAnsi="仿宋" w:eastAsia="仿宋"/>
                <w:color w:val="000000"/>
                <w:sz w:val="24"/>
                <w:szCs w:val="24"/>
              </w:rPr>
              <w:t>、水务局、</w:t>
            </w:r>
            <w:r>
              <w:rPr>
                <w:rFonts w:hint="eastAsia" w:ascii="仿宋" w:hAnsi="仿宋" w:eastAsia="仿宋"/>
                <w:color w:val="000000"/>
                <w:sz w:val="24"/>
                <w:szCs w:val="24"/>
                <w:lang w:eastAsia="zh-CN"/>
              </w:rPr>
              <w:t>发展和改革局、</w:t>
            </w:r>
            <w:r>
              <w:rPr>
                <w:rFonts w:hint="eastAsia" w:ascii="仿宋" w:hAnsi="仿宋" w:eastAsia="仿宋"/>
                <w:color w:val="000000"/>
                <w:sz w:val="24"/>
                <w:szCs w:val="24"/>
              </w:rPr>
              <w:t>园林和</w:t>
            </w:r>
            <w:r>
              <w:rPr>
                <w:rFonts w:hint="eastAsia" w:ascii="仿宋" w:hAnsi="仿宋" w:eastAsia="仿宋"/>
                <w:color w:val="000000"/>
                <w:sz w:val="24"/>
                <w:szCs w:val="24"/>
                <w:lang w:eastAsia="zh-CN"/>
              </w:rPr>
              <w:t>绿化服务中心</w:t>
            </w:r>
            <w:r>
              <w:rPr>
                <w:rFonts w:hint="eastAsia" w:ascii="仿宋" w:hAnsi="仿宋" w:eastAsia="仿宋"/>
                <w:color w:val="000000"/>
                <w:sz w:val="24"/>
                <w:szCs w:val="24"/>
              </w:rPr>
              <w:t>、商务局、文化和旅游局、卫生健康</w:t>
            </w:r>
            <w:r>
              <w:rPr>
                <w:rFonts w:hint="eastAsia" w:ascii="仿宋" w:hAnsi="仿宋" w:eastAsia="仿宋"/>
                <w:color w:val="000000"/>
                <w:sz w:val="24"/>
                <w:szCs w:val="24"/>
                <w:lang w:eastAsia="zh-CN"/>
              </w:rPr>
              <w:t>局</w:t>
            </w:r>
            <w:r>
              <w:rPr>
                <w:rFonts w:hint="eastAsia" w:ascii="仿宋" w:hAnsi="仿宋" w:eastAsia="仿宋"/>
                <w:color w:val="000000"/>
                <w:sz w:val="24"/>
                <w:szCs w:val="24"/>
              </w:rPr>
              <w:t>、</w:t>
            </w:r>
            <w:r>
              <w:rPr>
                <w:rFonts w:hint="eastAsia" w:ascii="仿宋" w:hAnsi="仿宋" w:eastAsia="仿宋"/>
                <w:color w:val="000000"/>
                <w:sz w:val="24"/>
                <w:szCs w:val="24"/>
                <w:lang w:eastAsia="zh-CN"/>
              </w:rPr>
              <w:t>文化</w:t>
            </w:r>
            <w:r>
              <w:rPr>
                <w:rFonts w:hint="eastAsia" w:ascii="仿宋" w:hAnsi="仿宋" w:eastAsia="仿宋"/>
                <w:color w:val="000000"/>
                <w:sz w:val="24"/>
                <w:szCs w:val="24"/>
              </w:rPr>
              <w:t>体育局、大数据局等</w:t>
            </w:r>
            <w:r>
              <w:rPr>
                <w:rFonts w:hint="eastAsia" w:ascii="仿宋" w:hAnsi="仿宋" w:eastAsia="仿宋"/>
                <w:color w:val="000000"/>
                <w:sz w:val="24"/>
                <w:szCs w:val="24"/>
                <w:lang w:eastAsia="zh-CN"/>
              </w:rPr>
              <w:t>相关</w:t>
            </w:r>
            <w:r>
              <w:rPr>
                <w:rFonts w:hint="eastAsia" w:ascii="仿宋" w:hAnsi="仿宋" w:eastAsia="仿宋"/>
                <w:color w:val="000000"/>
                <w:sz w:val="24"/>
                <w:szCs w:val="24"/>
              </w:rPr>
              <w:t>行政监督部门等</w:t>
            </w:r>
            <w:r>
              <w:rPr>
                <w:rFonts w:hint="eastAsia" w:ascii="仿宋" w:hAnsi="仿宋" w:eastAsia="仿宋"/>
                <w:color w:val="000000"/>
                <w:sz w:val="24"/>
                <w:szCs w:val="24"/>
                <w:lang w:eastAsia="zh-CN"/>
              </w:rPr>
              <w:t>部门</w:t>
            </w:r>
            <w:r>
              <w:rPr>
                <w:rFonts w:hint="eastAsia" w:ascii="仿宋" w:hAnsi="仿宋" w:eastAsia="仿宋"/>
                <w:color w:val="000000"/>
                <w:sz w:val="24"/>
                <w:szCs w:val="24"/>
              </w:rPr>
              <w:t>按职责分工</w:t>
            </w:r>
            <w:r>
              <w:rPr>
                <w:rFonts w:hint="eastAsia" w:ascii="仿宋" w:hAnsi="仿宋" w:eastAsia="仿宋"/>
                <w:color w:val="000000"/>
                <w:sz w:val="24"/>
                <w:szCs w:val="24"/>
                <w:lang w:eastAsia="zh-CN"/>
              </w:rPr>
              <w:t>做好推进</w:t>
            </w:r>
          </w:p>
        </w:tc>
        <w:tc>
          <w:tcPr>
            <w:tcW w:w="1063" w:type="dxa"/>
            <w:vAlign w:val="center"/>
          </w:tcPr>
          <w:p w14:paraId="353738D8">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12月底</w:t>
            </w:r>
          </w:p>
        </w:tc>
        <w:tc>
          <w:tcPr>
            <w:tcW w:w="2009" w:type="dxa"/>
            <w:vAlign w:val="center"/>
          </w:tcPr>
          <w:p w14:paraId="1FE2ADE7">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《山东省人民政府关于印发山东省优化营商环境创新突破行动实施方案的通知》</w:t>
            </w:r>
          </w:p>
          <w:p w14:paraId="33F7F958">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《济南市招标投标领域建设一流营商环境工作方案》</w:t>
            </w:r>
          </w:p>
        </w:tc>
      </w:tr>
      <w:tr w14:paraId="20F9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77" w:hRule="atLeast"/>
        </w:trPr>
        <w:tc>
          <w:tcPr>
            <w:tcW w:w="604" w:type="dxa"/>
            <w:vMerge w:val="continue"/>
            <w:vAlign w:val="center"/>
          </w:tcPr>
          <w:p w14:paraId="6CE3CA5C">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73616E36">
            <w:pPr>
              <w:tabs>
                <w:tab w:val="left" w:pos="1260"/>
              </w:tabs>
              <w:jc w:val="center"/>
              <w:rPr>
                <w:rFonts w:hint="eastAsia" w:ascii="仿宋" w:hAnsi="仿宋" w:eastAsia="仿宋"/>
                <w:color w:val="000000"/>
                <w:sz w:val="24"/>
                <w:szCs w:val="24"/>
              </w:rPr>
            </w:pPr>
          </w:p>
        </w:tc>
        <w:tc>
          <w:tcPr>
            <w:tcW w:w="1650" w:type="dxa"/>
            <w:vMerge w:val="restart"/>
            <w:vAlign w:val="center"/>
          </w:tcPr>
          <w:p w14:paraId="68D76EC3">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4.5完善公共资</w:t>
            </w:r>
          </w:p>
          <w:p w14:paraId="07C9718D">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源交易信用制</w:t>
            </w:r>
          </w:p>
          <w:p w14:paraId="42531247">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度体系</w:t>
            </w:r>
          </w:p>
        </w:tc>
        <w:tc>
          <w:tcPr>
            <w:tcW w:w="5102" w:type="dxa"/>
            <w:vAlign w:val="center"/>
          </w:tcPr>
          <w:p w14:paraId="2C44E7B9">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rPr>
              <w:t>各行业领域鼓励支持招标人优先选择具备优良信用从业企业、</w:t>
            </w:r>
            <w:r>
              <w:rPr>
                <w:rFonts w:hint="eastAsia" w:ascii="仿宋" w:hAnsi="仿宋" w:eastAsia="仿宋"/>
                <w:color w:val="000000"/>
                <w:sz w:val="24"/>
                <w:szCs w:val="24"/>
                <w:lang w:eastAsia="zh-CN"/>
              </w:rPr>
              <w:t>探索</w:t>
            </w:r>
            <w:r>
              <w:rPr>
                <w:rFonts w:hint="eastAsia" w:ascii="仿宋" w:hAnsi="仿宋" w:eastAsia="仿宋"/>
                <w:color w:val="000000"/>
                <w:sz w:val="24"/>
                <w:szCs w:val="24"/>
              </w:rPr>
              <w:t>对信用良好投标人或者中标人实行减免保证金等优惠政策。对招标人到期不按规定退还投标保证金及银行同期存款利息或投标保函的，</w:t>
            </w:r>
            <w:r>
              <w:rPr>
                <w:rFonts w:hint="eastAsia" w:ascii="仿宋" w:hAnsi="仿宋" w:eastAsia="仿宋"/>
                <w:color w:val="000000"/>
                <w:sz w:val="24"/>
                <w:szCs w:val="24"/>
                <w:lang w:eastAsia="zh-CN"/>
              </w:rPr>
              <w:t>按要求报送上级部门，</w:t>
            </w:r>
            <w:r>
              <w:rPr>
                <w:rFonts w:hint="eastAsia" w:ascii="仿宋" w:hAnsi="仿宋" w:eastAsia="仿宋"/>
                <w:color w:val="000000"/>
                <w:sz w:val="24"/>
                <w:szCs w:val="24"/>
              </w:rPr>
              <w:t>应作为不良行为记入信用记录。</w:t>
            </w:r>
          </w:p>
        </w:tc>
        <w:tc>
          <w:tcPr>
            <w:tcW w:w="3120" w:type="dxa"/>
            <w:vAlign w:val="center"/>
          </w:tcPr>
          <w:p w14:paraId="2307A659">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区住房和城市建设局</w:t>
            </w:r>
            <w:r>
              <w:rPr>
                <w:rFonts w:hint="eastAsia" w:ascii="仿宋" w:hAnsi="仿宋" w:eastAsia="仿宋"/>
                <w:color w:val="000000"/>
                <w:sz w:val="24"/>
                <w:szCs w:val="24"/>
              </w:rPr>
              <w:t>、</w:t>
            </w:r>
            <w:r>
              <w:rPr>
                <w:rFonts w:hint="eastAsia" w:ascii="仿宋" w:hAnsi="仿宋" w:eastAsia="仿宋"/>
                <w:color w:val="000000"/>
                <w:sz w:val="24"/>
                <w:szCs w:val="24"/>
                <w:lang w:eastAsia="zh-CN"/>
              </w:rPr>
              <w:t>水务局、自然资源局</w:t>
            </w:r>
            <w:r>
              <w:rPr>
                <w:rFonts w:hint="eastAsia" w:ascii="仿宋" w:hAnsi="仿宋" w:eastAsia="仿宋"/>
                <w:color w:val="000000"/>
                <w:sz w:val="24"/>
                <w:szCs w:val="24"/>
              </w:rPr>
              <w:t>等</w:t>
            </w:r>
            <w:r>
              <w:rPr>
                <w:rFonts w:hint="eastAsia" w:ascii="仿宋" w:hAnsi="仿宋" w:eastAsia="仿宋"/>
                <w:color w:val="000000"/>
                <w:sz w:val="24"/>
                <w:szCs w:val="24"/>
                <w:lang w:eastAsia="zh-CN"/>
              </w:rPr>
              <w:t>部门</w:t>
            </w:r>
            <w:r>
              <w:rPr>
                <w:rFonts w:hint="eastAsia" w:ascii="仿宋" w:hAnsi="仿宋" w:eastAsia="仿宋"/>
                <w:color w:val="000000"/>
                <w:sz w:val="24"/>
                <w:szCs w:val="24"/>
              </w:rPr>
              <w:t>按职责分工</w:t>
            </w:r>
            <w:r>
              <w:rPr>
                <w:rFonts w:hint="eastAsia" w:ascii="仿宋" w:hAnsi="仿宋" w:eastAsia="仿宋"/>
                <w:color w:val="000000"/>
                <w:sz w:val="24"/>
                <w:szCs w:val="24"/>
                <w:lang w:eastAsia="zh-CN"/>
              </w:rPr>
              <w:t>做好推进</w:t>
            </w:r>
          </w:p>
        </w:tc>
        <w:tc>
          <w:tcPr>
            <w:tcW w:w="1063" w:type="dxa"/>
            <w:vAlign w:val="center"/>
          </w:tcPr>
          <w:p w14:paraId="19F92281">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10月底</w:t>
            </w:r>
          </w:p>
        </w:tc>
        <w:tc>
          <w:tcPr>
            <w:tcW w:w="2009" w:type="dxa"/>
            <w:vAlign w:val="center"/>
          </w:tcPr>
          <w:p w14:paraId="4EC73E7E">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2020年国家营商环境评价反馈问题</w:t>
            </w:r>
          </w:p>
        </w:tc>
      </w:tr>
      <w:tr w14:paraId="0A14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40" w:hRule="atLeast"/>
        </w:trPr>
        <w:tc>
          <w:tcPr>
            <w:tcW w:w="604" w:type="dxa"/>
            <w:vMerge w:val="continue"/>
            <w:vAlign w:val="center"/>
          </w:tcPr>
          <w:p w14:paraId="629D103D">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78C38666">
            <w:pPr>
              <w:tabs>
                <w:tab w:val="left" w:pos="1260"/>
              </w:tabs>
              <w:jc w:val="center"/>
              <w:rPr>
                <w:rFonts w:hint="eastAsia" w:ascii="仿宋" w:hAnsi="仿宋" w:eastAsia="仿宋"/>
                <w:color w:val="000000"/>
                <w:sz w:val="24"/>
                <w:szCs w:val="24"/>
              </w:rPr>
            </w:pPr>
          </w:p>
        </w:tc>
        <w:tc>
          <w:tcPr>
            <w:tcW w:w="1650" w:type="dxa"/>
            <w:vMerge w:val="continue"/>
            <w:vAlign w:val="center"/>
          </w:tcPr>
          <w:p w14:paraId="529704B0">
            <w:pPr>
              <w:tabs>
                <w:tab w:val="left" w:pos="1260"/>
              </w:tabs>
              <w:jc w:val="center"/>
              <w:rPr>
                <w:rFonts w:hint="eastAsia" w:ascii="仿宋" w:hAnsi="仿宋" w:eastAsia="仿宋"/>
                <w:color w:val="000000"/>
                <w:sz w:val="24"/>
                <w:szCs w:val="24"/>
              </w:rPr>
            </w:pPr>
          </w:p>
        </w:tc>
        <w:tc>
          <w:tcPr>
            <w:tcW w:w="5102" w:type="dxa"/>
            <w:vAlign w:val="center"/>
          </w:tcPr>
          <w:p w14:paraId="2909D1EB">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配合市公共资源管理平台做好</w:t>
            </w:r>
            <w:r>
              <w:rPr>
                <w:rFonts w:hint="eastAsia" w:ascii="仿宋" w:hAnsi="仿宋" w:eastAsia="仿宋"/>
                <w:color w:val="000000"/>
                <w:sz w:val="24"/>
                <w:szCs w:val="24"/>
              </w:rPr>
              <w:t>与信用中国（济南）等信用平台的对接，方便信用信息查询。</w:t>
            </w:r>
          </w:p>
        </w:tc>
        <w:tc>
          <w:tcPr>
            <w:tcW w:w="3120" w:type="dxa"/>
            <w:vAlign w:val="center"/>
          </w:tcPr>
          <w:p w14:paraId="7B0DA4CC">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区发展和改革局、住房和城市建设局、市政工程服务中心、水务局、园林绿化服务中心等部门按职责分工抓好落实</w:t>
            </w:r>
          </w:p>
        </w:tc>
        <w:tc>
          <w:tcPr>
            <w:tcW w:w="1063" w:type="dxa"/>
            <w:vAlign w:val="center"/>
          </w:tcPr>
          <w:p w14:paraId="32D88D86">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10月底</w:t>
            </w:r>
          </w:p>
        </w:tc>
        <w:tc>
          <w:tcPr>
            <w:tcW w:w="2009" w:type="dxa"/>
            <w:vAlign w:val="center"/>
          </w:tcPr>
          <w:p w14:paraId="0D07F49F">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《山东省人民政府关于印发山东省优化营商环境创新突破行动实施方案的通知》</w:t>
            </w:r>
          </w:p>
        </w:tc>
      </w:tr>
      <w:tr w14:paraId="1F511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8" w:hRule="atLeast"/>
        </w:trPr>
        <w:tc>
          <w:tcPr>
            <w:tcW w:w="604" w:type="dxa"/>
            <w:vMerge w:val="continue"/>
            <w:vAlign w:val="center"/>
          </w:tcPr>
          <w:p w14:paraId="715327DB">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0D8A342C">
            <w:pPr>
              <w:tabs>
                <w:tab w:val="left" w:pos="1260"/>
              </w:tabs>
              <w:jc w:val="center"/>
              <w:rPr>
                <w:rFonts w:hint="eastAsia" w:ascii="仿宋" w:hAnsi="仿宋" w:eastAsia="仿宋"/>
                <w:color w:val="000000"/>
                <w:sz w:val="24"/>
                <w:szCs w:val="24"/>
              </w:rPr>
            </w:pPr>
          </w:p>
        </w:tc>
        <w:tc>
          <w:tcPr>
            <w:tcW w:w="1650" w:type="dxa"/>
            <w:vMerge w:val="continue"/>
            <w:vAlign w:val="center"/>
          </w:tcPr>
          <w:p w14:paraId="0236E633">
            <w:pPr>
              <w:tabs>
                <w:tab w:val="left" w:pos="1260"/>
              </w:tabs>
              <w:jc w:val="center"/>
              <w:rPr>
                <w:rFonts w:hint="eastAsia" w:ascii="仿宋" w:hAnsi="仿宋" w:eastAsia="仿宋"/>
                <w:color w:val="000000"/>
                <w:sz w:val="24"/>
                <w:szCs w:val="24"/>
              </w:rPr>
            </w:pPr>
          </w:p>
        </w:tc>
        <w:tc>
          <w:tcPr>
            <w:tcW w:w="5102" w:type="dxa"/>
            <w:vAlign w:val="center"/>
          </w:tcPr>
          <w:p w14:paraId="2BC154DA">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rPr>
              <w:t>各行政监督部门</w:t>
            </w:r>
            <w:r>
              <w:rPr>
                <w:rFonts w:hint="eastAsia" w:ascii="仿宋" w:hAnsi="仿宋" w:eastAsia="仿宋"/>
                <w:color w:val="000000"/>
                <w:sz w:val="24"/>
                <w:szCs w:val="24"/>
                <w:lang w:eastAsia="zh-CN"/>
              </w:rPr>
              <w:t>配合上级部门</w:t>
            </w:r>
            <w:r>
              <w:rPr>
                <w:rFonts w:hint="eastAsia" w:ascii="仿宋" w:hAnsi="仿宋" w:eastAsia="仿宋"/>
                <w:color w:val="000000"/>
                <w:sz w:val="24"/>
                <w:szCs w:val="24"/>
              </w:rPr>
              <w:t>加快完善本行业内部市场主体信用管理办法，加强招投标市场和施工现场合同履约监管，将合同履约评价纳入行业信用管理。</w:t>
            </w:r>
            <w:r>
              <w:rPr>
                <w:rFonts w:hint="eastAsia" w:ascii="仿宋" w:hAnsi="仿宋" w:eastAsia="仿宋"/>
                <w:color w:val="000000"/>
                <w:sz w:val="24"/>
                <w:szCs w:val="24"/>
                <w:lang w:eastAsia="zh-CN"/>
              </w:rPr>
              <w:t>建立</w:t>
            </w:r>
            <w:r>
              <w:rPr>
                <w:rFonts w:hint="eastAsia" w:ascii="仿宋" w:hAnsi="仿宋" w:eastAsia="仿宋"/>
                <w:color w:val="000000"/>
                <w:sz w:val="24"/>
                <w:szCs w:val="24"/>
              </w:rPr>
              <w:t>本行业领域招标人、投标人、招标代理机构及从业人员等市场主体档案。</w:t>
            </w:r>
          </w:p>
        </w:tc>
        <w:tc>
          <w:tcPr>
            <w:tcW w:w="3120" w:type="dxa"/>
            <w:vAlign w:val="center"/>
          </w:tcPr>
          <w:p w14:paraId="125F2F77">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区住房和城市建设局、市政工程服务中心、水务局、园林绿化服务中心等部门按职责分工抓好落实</w:t>
            </w:r>
          </w:p>
        </w:tc>
        <w:tc>
          <w:tcPr>
            <w:tcW w:w="1063" w:type="dxa"/>
            <w:vAlign w:val="center"/>
          </w:tcPr>
          <w:p w14:paraId="39EC77B7">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lang w:eastAsia="zh-CN"/>
              </w:rPr>
              <w:t>长</w:t>
            </w:r>
            <w:r>
              <w:rPr>
                <w:rFonts w:hint="eastAsia" w:ascii="仿宋" w:hAnsi="仿宋" w:eastAsia="仿宋"/>
                <w:color w:val="000000"/>
                <w:sz w:val="24"/>
                <w:szCs w:val="24"/>
              </w:rPr>
              <w:t>期坚持</w:t>
            </w:r>
          </w:p>
        </w:tc>
        <w:tc>
          <w:tcPr>
            <w:tcW w:w="2009" w:type="dxa"/>
            <w:vAlign w:val="center"/>
          </w:tcPr>
          <w:p w14:paraId="32818742">
            <w:pPr>
              <w:tabs>
                <w:tab w:val="left" w:pos="1260"/>
              </w:tabs>
              <w:jc w:val="center"/>
              <w:rPr>
                <w:rFonts w:hint="eastAsia" w:ascii="仿宋" w:hAnsi="仿宋" w:eastAsia="仿宋"/>
                <w:color w:val="000000"/>
                <w:sz w:val="24"/>
                <w:szCs w:val="24"/>
              </w:rPr>
            </w:pPr>
          </w:p>
        </w:tc>
      </w:tr>
      <w:tr w14:paraId="2879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604" w:type="dxa"/>
            <w:vMerge w:val="restart"/>
            <w:vAlign w:val="center"/>
          </w:tcPr>
          <w:p w14:paraId="5EC25A9C">
            <w:pPr>
              <w:tabs>
                <w:tab w:val="left" w:pos="1260"/>
              </w:tabs>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5</w:t>
            </w:r>
          </w:p>
        </w:tc>
        <w:tc>
          <w:tcPr>
            <w:tcW w:w="825" w:type="dxa"/>
            <w:vMerge w:val="restart"/>
            <w:vAlign w:val="center"/>
          </w:tcPr>
          <w:p w14:paraId="75E32D66">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交易全流程电子化</w:t>
            </w:r>
          </w:p>
        </w:tc>
        <w:tc>
          <w:tcPr>
            <w:tcW w:w="1650" w:type="dxa"/>
            <w:vMerge w:val="restart"/>
            <w:vAlign w:val="center"/>
          </w:tcPr>
          <w:p w14:paraId="068E36C1">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5.1完善招投标</w:t>
            </w:r>
          </w:p>
          <w:p w14:paraId="75A71014">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全流程电子化</w:t>
            </w:r>
          </w:p>
        </w:tc>
        <w:tc>
          <w:tcPr>
            <w:tcW w:w="5102" w:type="dxa"/>
            <w:vAlign w:val="center"/>
          </w:tcPr>
          <w:p w14:paraId="28FF8402">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配合</w:t>
            </w:r>
            <w:r>
              <w:rPr>
                <w:rFonts w:hint="eastAsia" w:ascii="仿宋" w:hAnsi="仿宋" w:eastAsia="仿宋"/>
                <w:color w:val="000000"/>
                <w:sz w:val="24"/>
                <w:szCs w:val="24"/>
              </w:rPr>
              <w:t>完善招投标全流程电子化，推进公共资源交易平台资源整合与互联互通，依托公共资源交易中心，完善平台功能建设，形成具备招投标信息、政策法规发布、在线获取标书、在线投标开标、电子远程异地评标、合同签订、在线视音频监管、在线支付、开具发票等功能，减少招标投标活动的社会成本。</w:t>
            </w:r>
          </w:p>
        </w:tc>
        <w:tc>
          <w:tcPr>
            <w:tcW w:w="3120" w:type="dxa"/>
            <w:vAlign w:val="center"/>
          </w:tcPr>
          <w:p w14:paraId="51C9729F">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区发展和改革局</w:t>
            </w:r>
            <w:r>
              <w:rPr>
                <w:rFonts w:hint="eastAsia" w:ascii="仿宋" w:hAnsi="仿宋" w:eastAsia="仿宋"/>
                <w:color w:val="000000"/>
                <w:sz w:val="24"/>
                <w:szCs w:val="24"/>
              </w:rPr>
              <w:t>、住房</w:t>
            </w:r>
            <w:r>
              <w:rPr>
                <w:rFonts w:hint="eastAsia" w:ascii="仿宋" w:hAnsi="仿宋" w:eastAsia="仿宋"/>
                <w:color w:val="000000"/>
                <w:sz w:val="24"/>
                <w:szCs w:val="24"/>
                <w:lang w:eastAsia="zh-CN"/>
              </w:rPr>
              <w:t>和</w:t>
            </w:r>
            <w:r>
              <w:rPr>
                <w:rFonts w:hint="eastAsia" w:ascii="仿宋" w:hAnsi="仿宋" w:eastAsia="仿宋"/>
                <w:color w:val="000000"/>
                <w:sz w:val="24"/>
                <w:szCs w:val="24"/>
              </w:rPr>
              <w:t>城</w:t>
            </w:r>
            <w:r>
              <w:rPr>
                <w:rFonts w:hint="eastAsia" w:ascii="仿宋" w:hAnsi="仿宋" w:eastAsia="仿宋"/>
                <w:color w:val="000000"/>
                <w:sz w:val="24"/>
                <w:szCs w:val="24"/>
                <w:lang w:eastAsia="zh-CN"/>
              </w:rPr>
              <w:t>市</w:t>
            </w:r>
            <w:r>
              <w:rPr>
                <w:rFonts w:hint="eastAsia" w:ascii="仿宋" w:hAnsi="仿宋" w:eastAsia="仿宋"/>
                <w:color w:val="000000"/>
                <w:sz w:val="24"/>
                <w:szCs w:val="24"/>
              </w:rPr>
              <w:t>建设局、</w:t>
            </w:r>
            <w:r>
              <w:rPr>
                <w:rFonts w:hint="eastAsia" w:ascii="仿宋" w:hAnsi="仿宋" w:eastAsia="仿宋"/>
                <w:color w:val="000000"/>
                <w:sz w:val="24"/>
                <w:szCs w:val="24"/>
                <w:lang w:eastAsia="zh-CN"/>
              </w:rPr>
              <w:t>市政工程服务中心</w:t>
            </w:r>
            <w:r>
              <w:rPr>
                <w:rFonts w:hint="eastAsia" w:ascii="仿宋" w:hAnsi="仿宋" w:eastAsia="仿宋"/>
                <w:color w:val="000000"/>
                <w:sz w:val="24"/>
                <w:szCs w:val="24"/>
              </w:rPr>
              <w:t>、水务局、园林和绿化</w:t>
            </w:r>
            <w:r>
              <w:rPr>
                <w:rFonts w:hint="eastAsia" w:ascii="仿宋" w:hAnsi="仿宋" w:eastAsia="仿宋"/>
                <w:color w:val="000000"/>
                <w:sz w:val="24"/>
                <w:szCs w:val="24"/>
                <w:lang w:eastAsia="zh-CN"/>
              </w:rPr>
              <w:t>服务中心</w:t>
            </w:r>
            <w:r>
              <w:rPr>
                <w:rFonts w:hint="eastAsia" w:ascii="仿宋" w:hAnsi="仿宋" w:eastAsia="仿宋"/>
                <w:color w:val="000000"/>
                <w:sz w:val="24"/>
                <w:szCs w:val="24"/>
              </w:rPr>
              <w:t>等按职责分工</w:t>
            </w:r>
            <w:r>
              <w:rPr>
                <w:rFonts w:hint="eastAsia" w:ascii="仿宋" w:hAnsi="仿宋" w:eastAsia="仿宋"/>
                <w:color w:val="000000"/>
                <w:sz w:val="24"/>
                <w:szCs w:val="24"/>
                <w:lang w:eastAsia="zh-CN"/>
              </w:rPr>
              <w:t>抓好落实</w:t>
            </w:r>
          </w:p>
        </w:tc>
        <w:tc>
          <w:tcPr>
            <w:tcW w:w="1063" w:type="dxa"/>
            <w:vAlign w:val="center"/>
          </w:tcPr>
          <w:p w14:paraId="6C28D3EC">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9月底</w:t>
            </w:r>
          </w:p>
        </w:tc>
        <w:tc>
          <w:tcPr>
            <w:tcW w:w="2009" w:type="dxa"/>
            <w:vAlign w:val="center"/>
          </w:tcPr>
          <w:p w14:paraId="45CB68A8">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2020年省优化营商环境评价反馈问题</w:t>
            </w:r>
          </w:p>
        </w:tc>
      </w:tr>
      <w:tr w14:paraId="266E6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81" w:hRule="atLeast"/>
        </w:trPr>
        <w:tc>
          <w:tcPr>
            <w:tcW w:w="604" w:type="dxa"/>
            <w:vMerge w:val="continue"/>
            <w:vAlign w:val="center"/>
          </w:tcPr>
          <w:p w14:paraId="63FC16D3">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598993BE">
            <w:pPr>
              <w:tabs>
                <w:tab w:val="left" w:pos="1260"/>
              </w:tabs>
              <w:jc w:val="center"/>
              <w:rPr>
                <w:rFonts w:hint="eastAsia" w:ascii="仿宋" w:hAnsi="仿宋" w:eastAsia="仿宋"/>
                <w:color w:val="000000"/>
                <w:sz w:val="24"/>
                <w:szCs w:val="24"/>
              </w:rPr>
            </w:pPr>
          </w:p>
        </w:tc>
        <w:tc>
          <w:tcPr>
            <w:tcW w:w="1650" w:type="dxa"/>
            <w:vMerge w:val="continue"/>
            <w:vAlign w:val="center"/>
          </w:tcPr>
          <w:p w14:paraId="575E7FC0">
            <w:pPr>
              <w:tabs>
                <w:tab w:val="left" w:pos="1260"/>
              </w:tabs>
              <w:jc w:val="center"/>
              <w:rPr>
                <w:rFonts w:hint="eastAsia" w:ascii="仿宋" w:hAnsi="仿宋" w:eastAsia="仿宋"/>
                <w:color w:val="000000"/>
                <w:sz w:val="24"/>
                <w:szCs w:val="24"/>
              </w:rPr>
            </w:pPr>
          </w:p>
        </w:tc>
        <w:tc>
          <w:tcPr>
            <w:tcW w:w="5102" w:type="dxa"/>
            <w:vAlign w:val="center"/>
          </w:tcPr>
          <w:p w14:paraId="5F40C365">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配合上级</w:t>
            </w:r>
            <w:r>
              <w:rPr>
                <w:rFonts w:hint="eastAsia" w:ascii="仿宋" w:hAnsi="仿宋" w:eastAsia="仿宋"/>
                <w:color w:val="000000"/>
                <w:sz w:val="24"/>
                <w:szCs w:val="24"/>
              </w:rPr>
              <w:t>有关行政监督部门进一步完善制定电子招标示范文本。</w:t>
            </w:r>
          </w:p>
        </w:tc>
        <w:tc>
          <w:tcPr>
            <w:tcW w:w="3120" w:type="dxa"/>
            <w:vAlign w:val="center"/>
          </w:tcPr>
          <w:p w14:paraId="763C6BE2">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w:t>
            </w:r>
            <w:r>
              <w:rPr>
                <w:rFonts w:hint="eastAsia" w:ascii="仿宋" w:hAnsi="仿宋" w:eastAsia="仿宋"/>
                <w:color w:val="000000"/>
                <w:sz w:val="24"/>
                <w:szCs w:val="24"/>
              </w:rPr>
              <w:t>住房</w:t>
            </w:r>
            <w:r>
              <w:rPr>
                <w:rFonts w:hint="eastAsia" w:ascii="仿宋" w:hAnsi="仿宋" w:eastAsia="仿宋"/>
                <w:color w:val="000000"/>
                <w:sz w:val="24"/>
                <w:szCs w:val="24"/>
                <w:lang w:eastAsia="zh-CN"/>
              </w:rPr>
              <w:t>和</w:t>
            </w:r>
            <w:r>
              <w:rPr>
                <w:rFonts w:hint="eastAsia" w:ascii="仿宋" w:hAnsi="仿宋" w:eastAsia="仿宋"/>
                <w:color w:val="000000"/>
                <w:sz w:val="24"/>
                <w:szCs w:val="24"/>
              </w:rPr>
              <w:t>城</w:t>
            </w:r>
            <w:r>
              <w:rPr>
                <w:rFonts w:hint="eastAsia" w:ascii="仿宋" w:hAnsi="仿宋" w:eastAsia="仿宋"/>
                <w:color w:val="000000"/>
                <w:sz w:val="24"/>
                <w:szCs w:val="24"/>
                <w:lang w:eastAsia="zh-CN"/>
              </w:rPr>
              <w:t>市</w:t>
            </w:r>
            <w:r>
              <w:rPr>
                <w:rFonts w:hint="eastAsia" w:ascii="仿宋" w:hAnsi="仿宋" w:eastAsia="仿宋"/>
                <w:color w:val="000000"/>
                <w:sz w:val="24"/>
                <w:szCs w:val="24"/>
              </w:rPr>
              <w:t>建设局、</w:t>
            </w:r>
            <w:r>
              <w:rPr>
                <w:rFonts w:hint="eastAsia" w:ascii="仿宋" w:hAnsi="仿宋" w:eastAsia="仿宋"/>
                <w:color w:val="000000"/>
                <w:sz w:val="24"/>
                <w:szCs w:val="24"/>
                <w:lang w:eastAsia="zh-CN"/>
              </w:rPr>
              <w:t>市政工程服务中心</w:t>
            </w:r>
            <w:r>
              <w:rPr>
                <w:rFonts w:hint="eastAsia" w:ascii="仿宋" w:hAnsi="仿宋" w:eastAsia="仿宋"/>
                <w:color w:val="000000"/>
                <w:sz w:val="24"/>
                <w:szCs w:val="24"/>
              </w:rPr>
              <w:t>、水务局、园林和绿化</w:t>
            </w:r>
            <w:r>
              <w:rPr>
                <w:rFonts w:hint="eastAsia" w:ascii="仿宋" w:hAnsi="仿宋" w:eastAsia="仿宋"/>
                <w:color w:val="000000"/>
                <w:sz w:val="24"/>
                <w:szCs w:val="24"/>
                <w:lang w:eastAsia="zh-CN"/>
              </w:rPr>
              <w:t>服务中心</w:t>
            </w:r>
            <w:r>
              <w:rPr>
                <w:rFonts w:hint="eastAsia" w:ascii="仿宋" w:hAnsi="仿宋" w:eastAsia="仿宋"/>
                <w:color w:val="000000"/>
                <w:sz w:val="24"/>
                <w:szCs w:val="24"/>
              </w:rPr>
              <w:t>等按职责分工</w:t>
            </w:r>
            <w:r>
              <w:rPr>
                <w:rFonts w:hint="eastAsia" w:ascii="仿宋" w:hAnsi="仿宋" w:eastAsia="仿宋"/>
                <w:color w:val="000000"/>
                <w:sz w:val="24"/>
                <w:szCs w:val="24"/>
                <w:lang w:eastAsia="zh-CN"/>
              </w:rPr>
              <w:t>，抓好工作落实</w:t>
            </w:r>
            <w:r>
              <w:rPr>
                <w:rFonts w:hint="eastAsia" w:ascii="仿宋" w:hAnsi="仿宋" w:eastAsia="仿宋"/>
                <w:color w:val="000000"/>
                <w:sz w:val="24"/>
                <w:szCs w:val="24"/>
              </w:rPr>
              <w:t>。</w:t>
            </w:r>
          </w:p>
        </w:tc>
        <w:tc>
          <w:tcPr>
            <w:tcW w:w="1063" w:type="dxa"/>
            <w:vAlign w:val="center"/>
          </w:tcPr>
          <w:p w14:paraId="6A027AB2">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10月底</w:t>
            </w:r>
          </w:p>
        </w:tc>
        <w:tc>
          <w:tcPr>
            <w:tcW w:w="2009" w:type="dxa"/>
            <w:vMerge w:val="restart"/>
            <w:vAlign w:val="center"/>
          </w:tcPr>
          <w:p w14:paraId="4644724F">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《济南市建设一流营商环境实施方案》</w:t>
            </w:r>
          </w:p>
          <w:p w14:paraId="5D9A7BD0">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《济南市招标投标领域建设一流营商环境工作方案》</w:t>
            </w:r>
          </w:p>
        </w:tc>
      </w:tr>
      <w:tr w14:paraId="7E2D1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22" w:hRule="atLeast"/>
        </w:trPr>
        <w:tc>
          <w:tcPr>
            <w:tcW w:w="604" w:type="dxa"/>
            <w:vMerge w:val="continue"/>
            <w:vAlign w:val="center"/>
          </w:tcPr>
          <w:p w14:paraId="3D20F628">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6D7E8102">
            <w:pPr>
              <w:tabs>
                <w:tab w:val="left" w:pos="1260"/>
              </w:tabs>
              <w:jc w:val="center"/>
              <w:rPr>
                <w:rFonts w:hint="eastAsia" w:ascii="仿宋" w:hAnsi="仿宋" w:eastAsia="仿宋"/>
                <w:color w:val="000000"/>
                <w:sz w:val="24"/>
                <w:szCs w:val="24"/>
              </w:rPr>
            </w:pPr>
          </w:p>
        </w:tc>
        <w:tc>
          <w:tcPr>
            <w:tcW w:w="1650" w:type="dxa"/>
            <w:vAlign w:val="center"/>
          </w:tcPr>
          <w:p w14:paraId="5FF8315A">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5.2推进“区块</w:t>
            </w:r>
          </w:p>
          <w:p w14:paraId="0F039C6B">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链”平台共享应用</w:t>
            </w:r>
          </w:p>
        </w:tc>
        <w:tc>
          <w:tcPr>
            <w:tcW w:w="5102" w:type="dxa"/>
            <w:vAlign w:val="center"/>
          </w:tcPr>
          <w:p w14:paraId="494761C2">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配合上级部门，</w:t>
            </w:r>
            <w:r>
              <w:rPr>
                <w:rFonts w:hint="eastAsia" w:ascii="仿宋" w:hAnsi="仿宋" w:eastAsia="仿宋"/>
                <w:color w:val="000000"/>
                <w:sz w:val="24"/>
                <w:szCs w:val="24"/>
              </w:rPr>
              <w:t>运用“区块链”技术实现标准体系建设、数据共享、应用工具的推广</w:t>
            </w:r>
            <w:r>
              <w:rPr>
                <w:rFonts w:hint="eastAsia" w:ascii="仿宋" w:hAnsi="仿宋" w:eastAsia="仿宋"/>
                <w:color w:val="000000"/>
                <w:sz w:val="24"/>
                <w:szCs w:val="24"/>
                <w:lang w:eastAsia="zh-CN"/>
              </w:rPr>
              <w:t>，</w:t>
            </w:r>
            <w:r>
              <w:rPr>
                <w:rFonts w:hint="eastAsia" w:ascii="仿宋" w:hAnsi="仿宋" w:eastAsia="仿宋"/>
                <w:color w:val="000000"/>
                <w:sz w:val="24"/>
                <w:szCs w:val="24"/>
              </w:rPr>
              <w:t>对外公开分享上链数据，保证各类交易行为动态留痕、可追溯。</w:t>
            </w:r>
          </w:p>
        </w:tc>
        <w:tc>
          <w:tcPr>
            <w:tcW w:w="3120" w:type="dxa"/>
            <w:vAlign w:val="center"/>
          </w:tcPr>
          <w:p w14:paraId="2CCD6BB5">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区发展和改革局、住房和城市建设局、市政工程服务中心、水务局、园林和绿化服务中心、区大数据局等按职责分工推进</w:t>
            </w:r>
          </w:p>
        </w:tc>
        <w:tc>
          <w:tcPr>
            <w:tcW w:w="1063" w:type="dxa"/>
            <w:vAlign w:val="center"/>
          </w:tcPr>
          <w:p w14:paraId="2900A18B">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9月中旬</w:t>
            </w:r>
          </w:p>
        </w:tc>
        <w:tc>
          <w:tcPr>
            <w:tcW w:w="2009" w:type="dxa"/>
            <w:vMerge w:val="continue"/>
            <w:vAlign w:val="center"/>
          </w:tcPr>
          <w:p w14:paraId="50DDA7AF">
            <w:pPr>
              <w:tabs>
                <w:tab w:val="left" w:pos="1260"/>
              </w:tabs>
              <w:jc w:val="center"/>
              <w:rPr>
                <w:rFonts w:hint="eastAsia" w:ascii="仿宋" w:hAnsi="仿宋" w:eastAsia="仿宋"/>
                <w:color w:val="000000"/>
                <w:sz w:val="24"/>
                <w:szCs w:val="24"/>
              </w:rPr>
            </w:pPr>
          </w:p>
        </w:tc>
      </w:tr>
      <w:tr w14:paraId="3DB9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8" w:hRule="atLeast"/>
        </w:trPr>
        <w:tc>
          <w:tcPr>
            <w:tcW w:w="604" w:type="dxa"/>
            <w:vMerge w:val="restart"/>
            <w:vAlign w:val="center"/>
          </w:tcPr>
          <w:p w14:paraId="72CBDF2A">
            <w:pPr>
              <w:tabs>
                <w:tab w:val="left" w:pos="1260"/>
              </w:tabs>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5</w:t>
            </w:r>
          </w:p>
        </w:tc>
        <w:tc>
          <w:tcPr>
            <w:tcW w:w="825" w:type="dxa"/>
            <w:vMerge w:val="restart"/>
            <w:vAlign w:val="center"/>
          </w:tcPr>
          <w:p w14:paraId="4366E051">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交易全流程电子化</w:t>
            </w:r>
          </w:p>
        </w:tc>
        <w:tc>
          <w:tcPr>
            <w:tcW w:w="1650" w:type="dxa"/>
            <w:vAlign w:val="center"/>
          </w:tcPr>
          <w:p w14:paraId="79113B22">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lang w:val="en-US" w:eastAsia="zh-CN"/>
              </w:rPr>
              <w:t>5.3</w:t>
            </w:r>
            <w:r>
              <w:rPr>
                <w:rFonts w:hint="eastAsia" w:ascii="仿宋" w:hAnsi="仿宋" w:eastAsia="仿宋"/>
                <w:color w:val="000000"/>
                <w:sz w:val="24"/>
                <w:szCs w:val="24"/>
              </w:rPr>
              <w:t>加快推进远程异地评标工作</w:t>
            </w:r>
          </w:p>
        </w:tc>
        <w:tc>
          <w:tcPr>
            <w:tcW w:w="5102" w:type="dxa"/>
            <w:vAlign w:val="center"/>
          </w:tcPr>
          <w:p w14:paraId="78EC8901">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配合做好</w:t>
            </w:r>
            <w:r>
              <w:rPr>
                <w:rFonts w:hint="eastAsia" w:ascii="仿宋" w:hAnsi="仿宋" w:eastAsia="仿宋"/>
                <w:color w:val="000000"/>
                <w:sz w:val="24"/>
                <w:szCs w:val="24"/>
              </w:rPr>
              <w:t>省远程异地评标协同系统，加强远程异地评标制度建设，</w:t>
            </w:r>
            <w:r>
              <w:rPr>
                <w:rFonts w:hint="eastAsia" w:ascii="仿宋" w:hAnsi="仿宋" w:eastAsia="仿宋"/>
                <w:color w:val="000000"/>
                <w:sz w:val="24"/>
                <w:szCs w:val="24"/>
                <w:lang w:eastAsia="zh-CN"/>
              </w:rPr>
              <w:t>严格落实</w:t>
            </w:r>
            <w:r>
              <w:rPr>
                <w:rFonts w:hint="eastAsia" w:ascii="仿宋" w:hAnsi="仿宋" w:eastAsia="仿宋"/>
                <w:color w:val="000000"/>
                <w:sz w:val="24"/>
                <w:szCs w:val="24"/>
              </w:rPr>
              <w:t>《济南市远程异地评标评审实施方案》等配套措施</w:t>
            </w:r>
          </w:p>
        </w:tc>
        <w:tc>
          <w:tcPr>
            <w:tcW w:w="3120" w:type="dxa"/>
            <w:vAlign w:val="center"/>
          </w:tcPr>
          <w:p w14:paraId="3EF2795B">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区发展和改革局、</w:t>
            </w: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住房和城市建设局、市政工程服务中心、水务局、园林绿化服务中心等按职责分工抓好落实</w:t>
            </w:r>
          </w:p>
        </w:tc>
        <w:tc>
          <w:tcPr>
            <w:tcW w:w="1063" w:type="dxa"/>
            <w:vAlign w:val="center"/>
          </w:tcPr>
          <w:p w14:paraId="4C8A318A">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9月底</w:t>
            </w:r>
          </w:p>
        </w:tc>
        <w:tc>
          <w:tcPr>
            <w:tcW w:w="2009" w:type="dxa"/>
            <w:vMerge w:val="restart"/>
            <w:vAlign w:val="center"/>
          </w:tcPr>
          <w:p w14:paraId="1549DE27">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《国家发展改革委办公厅关于深化公共资源交易平台整合共享2021年重点工作任务的通知》</w:t>
            </w:r>
          </w:p>
          <w:p w14:paraId="4816A86E">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《山东省人民政府关于印发山东省优化营商环境创新突破行动实施方案的通知》</w:t>
            </w:r>
          </w:p>
          <w:p w14:paraId="60D374BA">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《济南市招标投标领域建设一流营商环境工作方案</w:t>
            </w:r>
          </w:p>
        </w:tc>
      </w:tr>
      <w:tr w14:paraId="2434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8" w:hRule="atLeast"/>
        </w:trPr>
        <w:tc>
          <w:tcPr>
            <w:tcW w:w="604" w:type="dxa"/>
            <w:vMerge w:val="continue"/>
            <w:vAlign w:val="center"/>
          </w:tcPr>
          <w:p w14:paraId="1814B617">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7D257957">
            <w:pPr>
              <w:tabs>
                <w:tab w:val="left" w:pos="1260"/>
              </w:tabs>
              <w:jc w:val="center"/>
              <w:rPr>
                <w:rFonts w:hint="eastAsia" w:ascii="仿宋" w:hAnsi="仿宋" w:eastAsia="仿宋"/>
                <w:color w:val="000000"/>
                <w:sz w:val="24"/>
                <w:szCs w:val="24"/>
              </w:rPr>
            </w:pPr>
          </w:p>
        </w:tc>
        <w:tc>
          <w:tcPr>
            <w:tcW w:w="1650" w:type="dxa"/>
            <w:vMerge w:val="restart"/>
            <w:vAlign w:val="center"/>
          </w:tcPr>
          <w:p w14:paraId="36CC3AE0">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5.4实现数字证</w:t>
            </w:r>
          </w:p>
          <w:p w14:paraId="53EFE1F2">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书（CA）互认</w:t>
            </w:r>
          </w:p>
          <w:p w14:paraId="1E7C79E2">
            <w:pPr>
              <w:tabs>
                <w:tab w:val="left" w:pos="1260"/>
              </w:tabs>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共享</w:t>
            </w:r>
          </w:p>
        </w:tc>
        <w:tc>
          <w:tcPr>
            <w:tcW w:w="5102" w:type="dxa"/>
            <w:vAlign w:val="center"/>
          </w:tcPr>
          <w:p w14:paraId="467C8E72">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配合</w:t>
            </w:r>
            <w:r>
              <w:rPr>
                <w:rFonts w:hint="eastAsia" w:ascii="仿宋" w:hAnsi="仿宋" w:eastAsia="仿宋"/>
                <w:color w:val="000000"/>
                <w:sz w:val="24"/>
                <w:szCs w:val="24"/>
              </w:rPr>
              <w:t>市交易中心在全省数字证书（CA）兼容互认的基础上，借助“泉城办”“微信公众号”等移动端，实现数字证书（CA）向移动端延伸</w:t>
            </w:r>
          </w:p>
        </w:tc>
        <w:tc>
          <w:tcPr>
            <w:tcW w:w="3120" w:type="dxa"/>
            <w:vAlign w:val="center"/>
          </w:tcPr>
          <w:p w14:paraId="419BE8B6">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区</w:t>
            </w:r>
            <w:r>
              <w:rPr>
                <w:rFonts w:hint="eastAsia" w:ascii="仿宋" w:hAnsi="仿宋" w:eastAsia="仿宋"/>
                <w:color w:val="000000"/>
                <w:sz w:val="24"/>
                <w:szCs w:val="24"/>
              </w:rPr>
              <w:t>住房</w:t>
            </w:r>
            <w:r>
              <w:rPr>
                <w:rFonts w:hint="eastAsia" w:ascii="仿宋" w:hAnsi="仿宋" w:eastAsia="仿宋"/>
                <w:color w:val="000000"/>
                <w:sz w:val="24"/>
                <w:szCs w:val="24"/>
                <w:lang w:eastAsia="zh-CN"/>
              </w:rPr>
              <w:t>和</w:t>
            </w:r>
            <w:r>
              <w:rPr>
                <w:rFonts w:hint="eastAsia" w:ascii="仿宋" w:hAnsi="仿宋" w:eastAsia="仿宋"/>
                <w:color w:val="000000"/>
                <w:sz w:val="24"/>
                <w:szCs w:val="24"/>
              </w:rPr>
              <w:t>城</w:t>
            </w:r>
            <w:r>
              <w:rPr>
                <w:rFonts w:hint="eastAsia" w:ascii="仿宋" w:hAnsi="仿宋" w:eastAsia="仿宋"/>
                <w:color w:val="000000"/>
                <w:sz w:val="24"/>
                <w:szCs w:val="24"/>
                <w:lang w:eastAsia="zh-CN"/>
              </w:rPr>
              <w:t>市</w:t>
            </w:r>
            <w:r>
              <w:rPr>
                <w:rFonts w:hint="eastAsia" w:ascii="仿宋" w:hAnsi="仿宋" w:eastAsia="仿宋"/>
                <w:color w:val="000000"/>
                <w:sz w:val="24"/>
                <w:szCs w:val="24"/>
              </w:rPr>
              <w:t>建设局、</w:t>
            </w:r>
            <w:r>
              <w:rPr>
                <w:rFonts w:hint="eastAsia" w:ascii="仿宋" w:hAnsi="仿宋" w:eastAsia="仿宋"/>
                <w:color w:val="000000"/>
                <w:sz w:val="24"/>
                <w:szCs w:val="24"/>
                <w:lang w:eastAsia="zh-CN"/>
              </w:rPr>
              <w:t>市政工程服务中心</w:t>
            </w:r>
            <w:r>
              <w:rPr>
                <w:rFonts w:hint="eastAsia" w:ascii="仿宋" w:hAnsi="仿宋" w:eastAsia="仿宋"/>
                <w:color w:val="000000"/>
                <w:sz w:val="24"/>
                <w:szCs w:val="24"/>
              </w:rPr>
              <w:t>、水务局、园林和绿化</w:t>
            </w:r>
            <w:r>
              <w:rPr>
                <w:rFonts w:hint="eastAsia" w:ascii="仿宋" w:hAnsi="仿宋" w:eastAsia="仿宋"/>
                <w:color w:val="000000"/>
                <w:sz w:val="24"/>
                <w:szCs w:val="24"/>
                <w:lang w:eastAsia="zh-CN"/>
              </w:rPr>
              <w:t>服务中心</w:t>
            </w:r>
            <w:r>
              <w:rPr>
                <w:rFonts w:hint="eastAsia" w:ascii="仿宋" w:hAnsi="仿宋" w:eastAsia="仿宋"/>
                <w:color w:val="000000"/>
                <w:sz w:val="24"/>
                <w:szCs w:val="24"/>
              </w:rPr>
              <w:t>按职责分工</w:t>
            </w:r>
            <w:r>
              <w:rPr>
                <w:rFonts w:hint="eastAsia" w:ascii="仿宋" w:hAnsi="仿宋" w:eastAsia="仿宋"/>
                <w:color w:val="000000"/>
                <w:sz w:val="24"/>
                <w:szCs w:val="24"/>
                <w:lang w:eastAsia="zh-CN"/>
              </w:rPr>
              <w:t>推进</w:t>
            </w:r>
            <w:r>
              <w:rPr>
                <w:rFonts w:hint="eastAsia" w:ascii="仿宋" w:hAnsi="仿宋" w:eastAsia="仿宋"/>
                <w:color w:val="000000"/>
                <w:sz w:val="24"/>
                <w:szCs w:val="24"/>
              </w:rPr>
              <w:t>。</w:t>
            </w:r>
          </w:p>
        </w:tc>
        <w:tc>
          <w:tcPr>
            <w:tcW w:w="1063" w:type="dxa"/>
            <w:vMerge w:val="restart"/>
            <w:vAlign w:val="center"/>
          </w:tcPr>
          <w:p w14:paraId="33587195">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10月中旬</w:t>
            </w:r>
          </w:p>
        </w:tc>
        <w:tc>
          <w:tcPr>
            <w:tcW w:w="2009" w:type="dxa"/>
            <w:vMerge w:val="continue"/>
            <w:vAlign w:val="center"/>
          </w:tcPr>
          <w:p w14:paraId="6CFDD5C1">
            <w:pPr>
              <w:tabs>
                <w:tab w:val="left" w:pos="1260"/>
              </w:tabs>
              <w:jc w:val="center"/>
              <w:rPr>
                <w:rFonts w:hint="eastAsia" w:ascii="仿宋" w:hAnsi="仿宋" w:eastAsia="仿宋"/>
                <w:color w:val="000000"/>
                <w:sz w:val="24"/>
                <w:szCs w:val="24"/>
              </w:rPr>
            </w:pPr>
          </w:p>
        </w:tc>
      </w:tr>
      <w:tr w14:paraId="4490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08" w:hRule="atLeast"/>
        </w:trPr>
        <w:tc>
          <w:tcPr>
            <w:tcW w:w="604" w:type="dxa"/>
            <w:vMerge w:val="continue"/>
            <w:vAlign w:val="center"/>
          </w:tcPr>
          <w:p w14:paraId="7FA64E75">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66E74B9D">
            <w:pPr>
              <w:tabs>
                <w:tab w:val="left" w:pos="1260"/>
              </w:tabs>
              <w:jc w:val="center"/>
              <w:rPr>
                <w:rFonts w:hint="eastAsia" w:ascii="仿宋" w:hAnsi="仿宋" w:eastAsia="仿宋"/>
                <w:color w:val="000000"/>
                <w:sz w:val="24"/>
                <w:szCs w:val="24"/>
              </w:rPr>
            </w:pPr>
          </w:p>
        </w:tc>
        <w:tc>
          <w:tcPr>
            <w:tcW w:w="1650" w:type="dxa"/>
            <w:vMerge w:val="continue"/>
            <w:vAlign w:val="center"/>
          </w:tcPr>
          <w:p w14:paraId="65596113">
            <w:pPr>
              <w:tabs>
                <w:tab w:val="left" w:pos="1260"/>
              </w:tabs>
              <w:jc w:val="center"/>
              <w:rPr>
                <w:rFonts w:hint="eastAsia" w:ascii="仿宋" w:hAnsi="仿宋" w:eastAsia="仿宋"/>
                <w:color w:val="000000"/>
                <w:sz w:val="24"/>
                <w:szCs w:val="24"/>
              </w:rPr>
            </w:pPr>
          </w:p>
        </w:tc>
        <w:tc>
          <w:tcPr>
            <w:tcW w:w="5102" w:type="dxa"/>
            <w:vAlign w:val="center"/>
          </w:tcPr>
          <w:p w14:paraId="38C24ABC">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根据</w:t>
            </w:r>
            <w:r>
              <w:rPr>
                <w:rFonts w:ascii="仿宋" w:hAnsi="仿宋" w:eastAsia="仿宋"/>
                <w:color w:val="000000"/>
                <w:sz w:val="24"/>
                <w:szCs w:val="24"/>
              </w:rPr>
              <w:t>市交易中心</w:t>
            </w:r>
            <w:r>
              <w:rPr>
                <w:rFonts w:hint="eastAsia" w:ascii="仿宋" w:hAnsi="仿宋" w:eastAsia="仿宋"/>
                <w:color w:val="000000"/>
                <w:sz w:val="24"/>
                <w:szCs w:val="24"/>
                <w:lang w:eastAsia="zh-CN"/>
              </w:rPr>
              <w:t>交互至</w:t>
            </w:r>
            <w:r>
              <w:rPr>
                <w:rFonts w:ascii="仿宋" w:hAnsi="仿宋" w:eastAsia="仿宋"/>
                <w:color w:val="000000"/>
                <w:sz w:val="24"/>
                <w:szCs w:val="24"/>
              </w:rPr>
              <w:t>监管平台</w:t>
            </w:r>
            <w:r>
              <w:rPr>
                <w:rFonts w:hint="eastAsia" w:ascii="仿宋" w:hAnsi="仿宋" w:eastAsia="仿宋"/>
                <w:color w:val="000000"/>
                <w:sz w:val="24"/>
                <w:szCs w:val="24"/>
                <w:lang w:eastAsia="zh-CN"/>
              </w:rPr>
              <w:t>关于</w:t>
            </w:r>
            <w:r>
              <w:rPr>
                <w:rFonts w:ascii="仿宋" w:hAnsi="仿宋" w:eastAsia="仿宋"/>
                <w:color w:val="000000"/>
                <w:sz w:val="24"/>
                <w:szCs w:val="24"/>
              </w:rPr>
              <w:t>围标串标、弄虚作假等违法违规行为，各行政监督部门及时处理发现问题，实现交易数据可比对、过程可追溯、问题可监测。</w:t>
            </w:r>
          </w:p>
        </w:tc>
        <w:tc>
          <w:tcPr>
            <w:tcW w:w="3120" w:type="dxa"/>
            <w:vAlign w:val="center"/>
          </w:tcPr>
          <w:p w14:paraId="46EE42ED">
            <w:pPr>
              <w:tabs>
                <w:tab w:val="left" w:pos="1260"/>
              </w:tabs>
              <w:jc w:val="left"/>
              <w:rPr>
                <w:rFonts w:hint="eastAsia" w:ascii="仿宋" w:hAnsi="仿宋" w:eastAsia="仿宋"/>
                <w:color w:val="000000"/>
                <w:sz w:val="24"/>
                <w:szCs w:val="24"/>
                <w:lang w:val="en-US" w:eastAsia="zh-CN"/>
              </w:rPr>
            </w:pPr>
            <w:r>
              <w:rPr>
                <w:rFonts w:ascii="仿宋" w:hAnsi="仿宋" w:eastAsia="仿宋"/>
                <w:color w:val="000000"/>
                <w:sz w:val="24"/>
                <w:szCs w:val="24"/>
              </w:rPr>
              <w:t>各行政监督部门按职责分工</w:t>
            </w:r>
            <w:r>
              <w:rPr>
                <w:rFonts w:hint="eastAsia" w:ascii="仿宋" w:hAnsi="仿宋" w:eastAsia="仿宋"/>
                <w:color w:val="000000"/>
                <w:sz w:val="24"/>
                <w:szCs w:val="24"/>
                <w:lang w:eastAsia="zh-CN"/>
              </w:rPr>
              <w:t>抓好落实</w:t>
            </w:r>
          </w:p>
        </w:tc>
        <w:tc>
          <w:tcPr>
            <w:tcW w:w="1063" w:type="dxa"/>
            <w:vMerge w:val="continue"/>
            <w:vAlign w:val="center"/>
          </w:tcPr>
          <w:p w14:paraId="2B3712A3">
            <w:pPr>
              <w:tabs>
                <w:tab w:val="left" w:pos="1260"/>
              </w:tabs>
              <w:jc w:val="center"/>
              <w:rPr>
                <w:rFonts w:hint="eastAsia" w:ascii="仿宋" w:hAnsi="仿宋" w:eastAsia="仿宋"/>
                <w:color w:val="000000"/>
                <w:sz w:val="24"/>
                <w:szCs w:val="24"/>
              </w:rPr>
            </w:pPr>
          </w:p>
        </w:tc>
        <w:tc>
          <w:tcPr>
            <w:tcW w:w="2009" w:type="dxa"/>
            <w:vAlign w:val="center"/>
          </w:tcPr>
          <w:p w14:paraId="73A40AFD">
            <w:pPr>
              <w:tabs>
                <w:tab w:val="left" w:pos="1260"/>
              </w:tabs>
              <w:jc w:val="center"/>
              <w:rPr>
                <w:rFonts w:hint="eastAsia" w:ascii="仿宋" w:hAnsi="仿宋" w:eastAsia="仿宋"/>
                <w:color w:val="000000"/>
                <w:sz w:val="24"/>
                <w:szCs w:val="24"/>
              </w:rPr>
            </w:pPr>
            <w:r>
              <w:rPr>
                <w:rFonts w:ascii="仿宋" w:hAnsi="仿宋" w:eastAsia="仿宋"/>
                <w:color w:val="000000"/>
                <w:sz w:val="24"/>
                <w:szCs w:val="24"/>
              </w:rPr>
              <w:t>2020年国家营商环境评价反馈问题。</w:t>
            </w:r>
          </w:p>
        </w:tc>
      </w:tr>
      <w:tr w14:paraId="5B13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7" w:hRule="atLeast"/>
        </w:trPr>
        <w:tc>
          <w:tcPr>
            <w:tcW w:w="604" w:type="dxa"/>
            <w:vMerge w:val="restart"/>
            <w:vAlign w:val="center"/>
          </w:tcPr>
          <w:p w14:paraId="07BFD95C">
            <w:pPr>
              <w:tabs>
                <w:tab w:val="left" w:pos="1260"/>
              </w:tabs>
              <w:jc w:val="center"/>
              <w:rPr>
                <w:rFonts w:hint="default" w:ascii="仿宋" w:hAnsi="仿宋" w:eastAsia="仿宋"/>
                <w:color w:val="000000"/>
                <w:sz w:val="24"/>
                <w:szCs w:val="24"/>
                <w:lang w:val="en-US" w:eastAsia="zh-CN"/>
              </w:rPr>
            </w:pPr>
            <w:r>
              <w:rPr>
                <w:rFonts w:hint="eastAsia" w:ascii="仿宋" w:hAnsi="仿宋" w:eastAsia="仿宋"/>
                <w:color w:val="000000"/>
                <w:sz w:val="24"/>
                <w:szCs w:val="24"/>
                <w:lang w:val="en-US" w:eastAsia="zh-CN"/>
              </w:rPr>
              <w:t>6</w:t>
            </w:r>
          </w:p>
        </w:tc>
        <w:tc>
          <w:tcPr>
            <w:tcW w:w="825" w:type="dxa"/>
            <w:vMerge w:val="restart"/>
            <w:vAlign w:val="center"/>
          </w:tcPr>
          <w:p w14:paraId="66DC1068">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lang w:eastAsia="zh-CN"/>
              </w:rPr>
              <w:t>交易成本负担</w:t>
            </w:r>
          </w:p>
        </w:tc>
        <w:tc>
          <w:tcPr>
            <w:tcW w:w="1650" w:type="dxa"/>
            <w:vAlign w:val="center"/>
          </w:tcPr>
          <w:p w14:paraId="00FA0CC9">
            <w:pPr>
              <w:tabs>
                <w:tab w:val="left" w:pos="1260"/>
              </w:tabs>
              <w:jc w:val="center"/>
              <w:rPr>
                <w:rFonts w:hint="eastAsia" w:ascii="仿宋" w:hAnsi="仿宋" w:eastAsia="仿宋"/>
                <w:color w:val="000000"/>
                <w:sz w:val="24"/>
                <w:szCs w:val="24"/>
              </w:rPr>
            </w:pPr>
            <w:r>
              <w:rPr>
                <w:rFonts w:ascii="仿宋" w:hAnsi="仿宋" w:eastAsia="仿宋"/>
                <w:color w:val="000000"/>
                <w:sz w:val="24"/>
                <w:szCs w:val="24"/>
              </w:rPr>
              <w:t>6.1全面推广电子保函</w:t>
            </w:r>
          </w:p>
        </w:tc>
        <w:tc>
          <w:tcPr>
            <w:tcW w:w="5102" w:type="dxa"/>
            <w:vAlign w:val="center"/>
          </w:tcPr>
          <w:p w14:paraId="6EAC1FBC">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充分利用我市公共资源交易电子平台资金管理系统，按照上级有关工作部署，进一步对接银行、融资担保公司等金融服务机构，为投标人提供在线办理银行保函、担保保函等金融服务，进一步提高电子保函使用率。</w:t>
            </w:r>
          </w:p>
        </w:tc>
        <w:tc>
          <w:tcPr>
            <w:tcW w:w="3120" w:type="dxa"/>
            <w:vAlign w:val="center"/>
          </w:tcPr>
          <w:p w14:paraId="1B73828D">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住房和城市建设局、市政工程服务中心、水务局、园林绿化服务中心等部门按职责推进</w:t>
            </w:r>
          </w:p>
        </w:tc>
        <w:tc>
          <w:tcPr>
            <w:tcW w:w="1063" w:type="dxa"/>
            <w:vAlign w:val="center"/>
          </w:tcPr>
          <w:p w14:paraId="7C985F76">
            <w:pPr>
              <w:tabs>
                <w:tab w:val="left" w:pos="1260"/>
              </w:tabs>
              <w:jc w:val="center"/>
              <w:rPr>
                <w:rFonts w:hint="eastAsia" w:ascii="仿宋" w:hAnsi="仿宋" w:eastAsia="仿宋"/>
                <w:color w:val="000000"/>
                <w:sz w:val="24"/>
                <w:szCs w:val="24"/>
              </w:rPr>
            </w:pPr>
            <w:r>
              <w:rPr>
                <w:rFonts w:ascii="仿宋" w:hAnsi="仿宋" w:eastAsia="仿宋"/>
                <w:color w:val="000000"/>
                <w:sz w:val="24"/>
                <w:szCs w:val="24"/>
              </w:rPr>
              <w:t>8月底</w:t>
            </w:r>
          </w:p>
        </w:tc>
        <w:tc>
          <w:tcPr>
            <w:tcW w:w="2009" w:type="dxa"/>
            <w:vAlign w:val="center"/>
          </w:tcPr>
          <w:p w14:paraId="7E058CFB">
            <w:pPr>
              <w:tabs>
                <w:tab w:val="left" w:pos="1260"/>
              </w:tabs>
              <w:jc w:val="center"/>
              <w:rPr>
                <w:rFonts w:ascii="仿宋" w:hAnsi="仿宋" w:eastAsia="仿宋"/>
                <w:color w:val="000000"/>
                <w:sz w:val="24"/>
                <w:szCs w:val="24"/>
              </w:rPr>
            </w:pPr>
          </w:p>
        </w:tc>
      </w:tr>
      <w:tr w14:paraId="5E6AE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65" w:hRule="atLeast"/>
        </w:trPr>
        <w:tc>
          <w:tcPr>
            <w:tcW w:w="604" w:type="dxa"/>
            <w:vMerge w:val="continue"/>
            <w:vAlign w:val="center"/>
          </w:tcPr>
          <w:p w14:paraId="44725428">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3A75A086">
            <w:pPr>
              <w:tabs>
                <w:tab w:val="left" w:pos="1260"/>
              </w:tabs>
              <w:jc w:val="center"/>
              <w:rPr>
                <w:rFonts w:hint="eastAsia" w:ascii="仿宋" w:hAnsi="仿宋" w:eastAsia="仿宋"/>
                <w:color w:val="000000"/>
                <w:sz w:val="24"/>
                <w:szCs w:val="24"/>
              </w:rPr>
            </w:pPr>
          </w:p>
        </w:tc>
        <w:tc>
          <w:tcPr>
            <w:tcW w:w="1650" w:type="dxa"/>
            <w:vAlign w:val="center"/>
          </w:tcPr>
          <w:p w14:paraId="74130ABD">
            <w:pPr>
              <w:tabs>
                <w:tab w:val="left" w:pos="1260"/>
              </w:tabs>
              <w:jc w:val="center"/>
              <w:rPr>
                <w:rFonts w:hint="eastAsia" w:ascii="仿宋" w:hAnsi="仿宋" w:eastAsia="仿宋"/>
                <w:color w:val="000000"/>
                <w:sz w:val="24"/>
                <w:szCs w:val="24"/>
              </w:rPr>
            </w:pPr>
            <w:r>
              <w:rPr>
                <w:rFonts w:ascii="仿宋" w:hAnsi="仿宋" w:eastAsia="仿宋"/>
                <w:color w:val="000000"/>
                <w:sz w:val="24"/>
                <w:szCs w:val="24"/>
              </w:rPr>
              <w:t>6.2强化金融融资服务</w:t>
            </w:r>
          </w:p>
        </w:tc>
        <w:tc>
          <w:tcPr>
            <w:tcW w:w="5102" w:type="dxa"/>
            <w:vAlign w:val="center"/>
          </w:tcPr>
          <w:p w14:paraId="1DB6F6DA">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按照相关职能强化金融融资服务，配合推进招标投标金融融资平台建设，方便参与投标的企业通过金融服务平台，在线提交金融业务申请，在线选择金融机构，实现金融机构在线审核。</w:t>
            </w:r>
          </w:p>
        </w:tc>
        <w:tc>
          <w:tcPr>
            <w:tcW w:w="3120" w:type="dxa"/>
            <w:vAlign w:val="center"/>
          </w:tcPr>
          <w:p w14:paraId="1E59F668">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住房和城市建设局、水务局、园林绿化服务中心等部门按职责推进</w:t>
            </w:r>
          </w:p>
        </w:tc>
        <w:tc>
          <w:tcPr>
            <w:tcW w:w="1063" w:type="dxa"/>
            <w:vAlign w:val="center"/>
          </w:tcPr>
          <w:p w14:paraId="55AAFA1E">
            <w:pPr>
              <w:tabs>
                <w:tab w:val="left" w:pos="1260"/>
              </w:tabs>
              <w:jc w:val="center"/>
              <w:rPr>
                <w:rFonts w:hint="eastAsia" w:ascii="仿宋" w:hAnsi="仿宋" w:eastAsia="仿宋"/>
                <w:color w:val="000000"/>
                <w:sz w:val="24"/>
                <w:szCs w:val="24"/>
              </w:rPr>
            </w:pPr>
            <w:r>
              <w:rPr>
                <w:rFonts w:ascii="仿宋" w:hAnsi="仿宋" w:eastAsia="仿宋"/>
                <w:color w:val="000000"/>
                <w:sz w:val="24"/>
                <w:szCs w:val="24"/>
              </w:rPr>
              <w:t>9月中旬</w:t>
            </w:r>
          </w:p>
        </w:tc>
        <w:tc>
          <w:tcPr>
            <w:tcW w:w="2009" w:type="dxa"/>
            <w:vAlign w:val="center"/>
          </w:tcPr>
          <w:p w14:paraId="6DCAD2BD">
            <w:pPr>
              <w:tabs>
                <w:tab w:val="left" w:pos="1260"/>
              </w:tabs>
              <w:jc w:val="center"/>
              <w:rPr>
                <w:rFonts w:ascii="仿宋" w:hAnsi="仿宋" w:eastAsia="仿宋"/>
                <w:color w:val="000000"/>
                <w:sz w:val="24"/>
                <w:szCs w:val="24"/>
              </w:rPr>
            </w:pPr>
          </w:p>
        </w:tc>
      </w:tr>
      <w:tr w14:paraId="7F52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4" w:hRule="atLeast"/>
        </w:trPr>
        <w:tc>
          <w:tcPr>
            <w:tcW w:w="604" w:type="dxa"/>
            <w:vMerge w:val="restart"/>
            <w:vAlign w:val="center"/>
          </w:tcPr>
          <w:p w14:paraId="4800FF71">
            <w:pPr>
              <w:tabs>
                <w:tab w:val="left" w:pos="1260"/>
              </w:tabs>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7</w:t>
            </w:r>
          </w:p>
        </w:tc>
        <w:tc>
          <w:tcPr>
            <w:tcW w:w="825" w:type="dxa"/>
            <w:vMerge w:val="restart"/>
            <w:vAlign w:val="center"/>
          </w:tcPr>
          <w:p w14:paraId="3F31F7A4">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法规制度</w:t>
            </w:r>
            <w:r>
              <w:rPr>
                <w:rFonts w:hint="eastAsia" w:ascii="仿宋" w:hAnsi="仿宋" w:eastAsia="仿宋"/>
                <w:color w:val="000000"/>
                <w:sz w:val="24"/>
                <w:szCs w:val="24"/>
                <w:lang w:eastAsia="zh-CN"/>
              </w:rPr>
              <w:t>环境</w:t>
            </w:r>
          </w:p>
        </w:tc>
        <w:tc>
          <w:tcPr>
            <w:tcW w:w="1650" w:type="dxa"/>
            <w:vAlign w:val="center"/>
          </w:tcPr>
          <w:p w14:paraId="144F34E1">
            <w:pPr>
              <w:tabs>
                <w:tab w:val="left" w:pos="1260"/>
              </w:tabs>
              <w:jc w:val="center"/>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7.1建立营商环境问题线索和意见建议常态化征集机制</w:t>
            </w:r>
          </w:p>
        </w:tc>
        <w:tc>
          <w:tcPr>
            <w:tcW w:w="5102" w:type="dxa"/>
            <w:vAlign w:val="center"/>
          </w:tcPr>
          <w:p w14:paraId="66437B91">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做好市场主体回访和服务工作，针对市场主体反馈的问题线索和意见建议，自收到问题之日起3个工作日内回复解决</w:t>
            </w:r>
          </w:p>
        </w:tc>
        <w:tc>
          <w:tcPr>
            <w:tcW w:w="3120" w:type="dxa"/>
            <w:vAlign w:val="center"/>
          </w:tcPr>
          <w:p w14:paraId="1317A43D">
            <w:pPr>
              <w:tabs>
                <w:tab w:val="left" w:pos="1260"/>
              </w:tabs>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住房和城市建设局、市政工程服务中心、水务局、园林绿化服务中心等按职责分工抓好落实</w:t>
            </w:r>
          </w:p>
        </w:tc>
        <w:tc>
          <w:tcPr>
            <w:tcW w:w="1063" w:type="dxa"/>
            <w:vAlign w:val="center"/>
          </w:tcPr>
          <w:p w14:paraId="1E080DA3">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8月底</w:t>
            </w:r>
          </w:p>
        </w:tc>
        <w:tc>
          <w:tcPr>
            <w:tcW w:w="2009" w:type="dxa"/>
            <w:vMerge w:val="restart"/>
            <w:vAlign w:val="center"/>
          </w:tcPr>
          <w:p w14:paraId="2945AB60">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1．《国家发展改革委办公厅关于深化公共资源交易平台整合共享2021年重点工作任务的通知》</w:t>
            </w:r>
          </w:p>
          <w:p w14:paraId="430A8633">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《山东省人民政府关于印发山东省优化营商环境创新突破行动实施方案的通知》</w:t>
            </w:r>
          </w:p>
          <w:p w14:paraId="39B153AE">
            <w:pPr>
              <w:tabs>
                <w:tab w:val="left" w:pos="1260"/>
              </w:tabs>
              <w:jc w:val="center"/>
              <w:rPr>
                <w:rFonts w:ascii="仿宋" w:hAnsi="仿宋" w:eastAsia="仿宋"/>
                <w:color w:val="000000"/>
                <w:sz w:val="24"/>
                <w:szCs w:val="24"/>
              </w:rPr>
            </w:pPr>
            <w:r>
              <w:rPr>
                <w:rFonts w:hint="eastAsia" w:ascii="仿宋" w:hAnsi="仿宋" w:eastAsia="仿宋"/>
                <w:color w:val="000000"/>
                <w:sz w:val="24"/>
                <w:szCs w:val="24"/>
              </w:rPr>
              <w:t>3</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《济南市招标投标领域建设一流营商环境工作方案》</w:t>
            </w:r>
          </w:p>
        </w:tc>
      </w:tr>
      <w:tr w14:paraId="14B2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41" w:hRule="atLeast"/>
        </w:trPr>
        <w:tc>
          <w:tcPr>
            <w:tcW w:w="604" w:type="dxa"/>
            <w:vMerge w:val="continue"/>
            <w:vAlign w:val="center"/>
          </w:tcPr>
          <w:p w14:paraId="491A7D6A">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3214D7E8">
            <w:pPr>
              <w:tabs>
                <w:tab w:val="left" w:pos="1260"/>
              </w:tabs>
              <w:jc w:val="center"/>
              <w:rPr>
                <w:rFonts w:hint="eastAsia" w:ascii="仿宋" w:hAnsi="仿宋" w:eastAsia="仿宋"/>
                <w:color w:val="000000"/>
                <w:sz w:val="24"/>
                <w:szCs w:val="24"/>
              </w:rPr>
            </w:pPr>
          </w:p>
        </w:tc>
        <w:tc>
          <w:tcPr>
            <w:tcW w:w="1650" w:type="dxa"/>
            <w:vAlign w:val="center"/>
          </w:tcPr>
          <w:p w14:paraId="176692BB">
            <w:pPr>
              <w:tabs>
                <w:tab w:val="left" w:pos="1260"/>
              </w:tabs>
              <w:jc w:val="center"/>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7.2坚决破除招投标隐形壁垒</w:t>
            </w:r>
          </w:p>
        </w:tc>
        <w:tc>
          <w:tcPr>
            <w:tcW w:w="5102" w:type="dxa"/>
            <w:vAlign w:val="center"/>
          </w:tcPr>
          <w:p w14:paraId="540B4B43">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eastAsia="zh-CN"/>
              </w:rPr>
              <w:t>各行业管理部门开展自查自纠，对自行设置市场主体和中介机构入围、备案、登记等行为主动自觉整改，并强化招标投标事中事后监管，通过开展“一标一评”“绩效评估”“标后评估”，重点检查整治对具备相应资质条件的企业设置与业务能力无关的企业规模门槛和明显超过招标项目要求等突出问题，维护公平竞争交易环境。</w:t>
            </w:r>
          </w:p>
        </w:tc>
        <w:tc>
          <w:tcPr>
            <w:tcW w:w="3120" w:type="dxa"/>
            <w:vAlign w:val="center"/>
          </w:tcPr>
          <w:p w14:paraId="62E741EC">
            <w:pPr>
              <w:tabs>
                <w:tab w:val="left" w:pos="1260"/>
              </w:tabs>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eastAsia="zh-CN"/>
              </w:rPr>
              <w:t>区发展和改革局、</w:t>
            </w: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住房和城市建设局、市政工程服务中心、水务局、园林绿化服务中心等行业管理部门</w:t>
            </w:r>
          </w:p>
        </w:tc>
        <w:tc>
          <w:tcPr>
            <w:tcW w:w="1063" w:type="dxa"/>
            <w:vAlign w:val="center"/>
          </w:tcPr>
          <w:p w14:paraId="7F4967F0">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长期坚持</w:t>
            </w:r>
          </w:p>
        </w:tc>
        <w:tc>
          <w:tcPr>
            <w:tcW w:w="2009" w:type="dxa"/>
            <w:vMerge w:val="continue"/>
            <w:vAlign w:val="center"/>
          </w:tcPr>
          <w:p w14:paraId="2CDAA071">
            <w:pPr>
              <w:tabs>
                <w:tab w:val="left" w:pos="1260"/>
              </w:tabs>
              <w:jc w:val="center"/>
              <w:rPr>
                <w:rFonts w:ascii="仿宋" w:hAnsi="仿宋" w:eastAsia="仿宋"/>
                <w:color w:val="000000"/>
                <w:sz w:val="24"/>
                <w:szCs w:val="24"/>
              </w:rPr>
            </w:pPr>
          </w:p>
        </w:tc>
      </w:tr>
      <w:tr w14:paraId="1373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22" w:hRule="atLeast"/>
        </w:trPr>
        <w:tc>
          <w:tcPr>
            <w:tcW w:w="604" w:type="dxa"/>
            <w:vMerge w:val="restart"/>
            <w:vAlign w:val="center"/>
          </w:tcPr>
          <w:p w14:paraId="1E6CBB36">
            <w:pPr>
              <w:tabs>
                <w:tab w:val="left" w:pos="1260"/>
              </w:tabs>
              <w:jc w:val="center"/>
              <w:rPr>
                <w:rFonts w:hint="eastAsia" w:ascii="仿宋" w:hAnsi="仿宋" w:eastAsia="仿宋"/>
                <w:color w:val="000000"/>
                <w:sz w:val="24"/>
                <w:szCs w:val="24"/>
                <w:lang w:val="en-US" w:eastAsia="zh-CN"/>
              </w:rPr>
            </w:pPr>
            <w:r>
              <w:rPr>
                <w:rFonts w:hint="eastAsia" w:ascii="仿宋" w:hAnsi="仿宋" w:eastAsia="仿宋"/>
                <w:color w:val="000000"/>
                <w:sz w:val="24"/>
                <w:szCs w:val="24"/>
              </w:rPr>
              <w:t>7</w:t>
            </w:r>
          </w:p>
        </w:tc>
        <w:tc>
          <w:tcPr>
            <w:tcW w:w="825" w:type="dxa"/>
            <w:vMerge w:val="restart"/>
            <w:vAlign w:val="center"/>
          </w:tcPr>
          <w:p w14:paraId="264FC067">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法规制度</w:t>
            </w:r>
            <w:r>
              <w:rPr>
                <w:rFonts w:hint="eastAsia" w:ascii="仿宋" w:hAnsi="仿宋" w:eastAsia="仿宋"/>
                <w:color w:val="000000"/>
                <w:sz w:val="24"/>
                <w:szCs w:val="24"/>
                <w:lang w:eastAsia="zh-CN"/>
              </w:rPr>
              <w:t>环境</w:t>
            </w:r>
          </w:p>
        </w:tc>
        <w:tc>
          <w:tcPr>
            <w:tcW w:w="1650" w:type="dxa"/>
            <w:vAlign w:val="center"/>
          </w:tcPr>
          <w:p w14:paraId="6E044891">
            <w:pPr>
              <w:tabs>
                <w:tab w:val="left" w:pos="1260"/>
              </w:tabs>
              <w:jc w:val="center"/>
              <w:rPr>
                <w:rFonts w:hint="eastAsia" w:ascii="仿宋" w:hAnsi="仿宋" w:eastAsia="仿宋"/>
                <w:color w:val="000000"/>
                <w:sz w:val="24"/>
                <w:szCs w:val="24"/>
                <w:lang w:eastAsia="zh-CN"/>
              </w:rPr>
            </w:pPr>
            <w:r>
              <w:rPr>
                <w:rFonts w:hint="eastAsia" w:ascii="仿宋" w:hAnsi="仿宋" w:eastAsia="仿宋"/>
                <w:color w:val="000000"/>
                <w:sz w:val="24"/>
                <w:szCs w:val="24"/>
              </w:rPr>
              <w:t>7.3规范招标投标规则制定程序</w:t>
            </w:r>
          </w:p>
        </w:tc>
        <w:tc>
          <w:tcPr>
            <w:tcW w:w="5102" w:type="dxa"/>
            <w:vAlign w:val="center"/>
          </w:tcPr>
          <w:p w14:paraId="2DF5151B">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rPr>
              <w:t>参照省制定的招标投标规则制定程序，进一步加强规则制定前的评估论证，认真开展公平竞争审查、合法性审查，建立市场主体、行业协会商会、上级主管部门意见征求机制，维护制度规则统一。</w:t>
            </w:r>
          </w:p>
        </w:tc>
        <w:tc>
          <w:tcPr>
            <w:tcW w:w="3120" w:type="dxa"/>
            <w:vAlign w:val="center"/>
          </w:tcPr>
          <w:p w14:paraId="3AE8219A">
            <w:pPr>
              <w:tabs>
                <w:tab w:val="left" w:pos="1260"/>
              </w:tabs>
              <w:jc w:val="left"/>
              <w:rPr>
                <w:rFonts w:hint="eastAsia" w:ascii="仿宋" w:hAnsi="仿宋" w:eastAsia="仿宋"/>
                <w:color w:val="000000"/>
                <w:sz w:val="24"/>
                <w:szCs w:val="24"/>
                <w:lang w:eastAsia="zh-CN"/>
              </w:rPr>
            </w:pP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住房和城市建设局、市政工程服务中心、水务局、园林绿化服务中心、区发展和改革局（农村农业）等单位</w:t>
            </w:r>
          </w:p>
        </w:tc>
        <w:tc>
          <w:tcPr>
            <w:tcW w:w="1063" w:type="dxa"/>
            <w:vMerge w:val="restart"/>
            <w:vAlign w:val="center"/>
          </w:tcPr>
          <w:p w14:paraId="3AF66CE6">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10月中旬</w:t>
            </w:r>
          </w:p>
        </w:tc>
        <w:tc>
          <w:tcPr>
            <w:tcW w:w="2009" w:type="dxa"/>
            <w:vMerge w:val="restart"/>
            <w:vAlign w:val="center"/>
          </w:tcPr>
          <w:p w14:paraId="4F09CE14">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1．《山东省人民政府关于印发山东省优化营商环境创新突破行动实施方案的通知》</w:t>
            </w:r>
          </w:p>
          <w:p w14:paraId="19F0907A">
            <w:pPr>
              <w:tabs>
                <w:tab w:val="left" w:pos="1260"/>
              </w:tabs>
              <w:jc w:val="center"/>
              <w:rPr>
                <w:rFonts w:ascii="仿宋" w:hAnsi="仿宋" w:eastAsia="仿宋"/>
                <w:color w:val="000000"/>
                <w:sz w:val="24"/>
                <w:szCs w:val="24"/>
              </w:rPr>
            </w:pPr>
            <w:r>
              <w:rPr>
                <w:rFonts w:hint="eastAsia" w:ascii="仿宋" w:hAnsi="仿宋" w:eastAsia="仿宋"/>
                <w:color w:val="000000"/>
                <w:sz w:val="24"/>
                <w:szCs w:val="24"/>
              </w:rPr>
              <w:t>2</w:t>
            </w:r>
            <w:r>
              <w:rPr>
                <w:rFonts w:hint="eastAsia" w:ascii="仿宋" w:hAnsi="仿宋" w:eastAsia="仿宋"/>
                <w:color w:val="000000"/>
                <w:sz w:val="24"/>
                <w:szCs w:val="24"/>
                <w:lang w:val="en-US" w:eastAsia="zh-CN"/>
              </w:rPr>
              <w:t>.</w:t>
            </w:r>
            <w:r>
              <w:rPr>
                <w:rFonts w:hint="eastAsia" w:ascii="仿宋" w:hAnsi="仿宋" w:eastAsia="仿宋"/>
                <w:color w:val="000000"/>
                <w:sz w:val="24"/>
                <w:szCs w:val="24"/>
              </w:rPr>
              <w:t>《济南市招标投标领域建设一流营商环境工作方案》</w:t>
            </w:r>
          </w:p>
        </w:tc>
      </w:tr>
      <w:tr w14:paraId="7E8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atLeast"/>
        </w:trPr>
        <w:tc>
          <w:tcPr>
            <w:tcW w:w="604" w:type="dxa"/>
            <w:vMerge w:val="continue"/>
            <w:vAlign w:val="center"/>
          </w:tcPr>
          <w:p w14:paraId="7B7CC823">
            <w:pPr>
              <w:tabs>
                <w:tab w:val="left" w:pos="1260"/>
              </w:tabs>
              <w:jc w:val="center"/>
              <w:rPr>
                <w:rFonts w:hint="eastAsia" w:ascii="仿宋" w:hAnsi="仿宋" w:eastAsia="仿宋"/>
                <w:color w:val="000000"/>
                <w:sz w:val="24"/>
                <w:szCs w:val="24"/>
                <w:lang w:val="en-US" w:eastAsia="zh-CN"/>
              </w:rPr>
            </w:pPr>
          </w:p>
        </w:tc>
        <w:tc>
          <w:tcPr>
            <w:tcW w:w="825" w:type="dxa"/>
            <w:vMerge w:val="continue"/>
            <w:vAlign w:val="center"/>
          </w:tcPr>
          <w:p w14:paraId="0259EB0F">
            <w:pPr>
              <w:tabs>
                <w:tab w:val="left" w:pos="1260"/>
              </w:tabs>
              <w:jc w:val="center"/>
              <w:rPr>
                <w:rFonts w:hint="eastAsia" w:ascii="仿宋" w:hAnsi="仿宋" w:eastAsia="仿宋"/>
                <w:color w:val="000000"/>
                <w:sz w:val="24"/>
                <w:szCs w:val="24"/>
              </w:rPr>
            </w:pPr>
          </w:p>
        </w:tc>
        <w:tc>
          <w:tcPr>
            <w:tcW w:w="1650" w:type="dxa"/>
            <w:vAlign w:val="center"/>
          </w:tcPr>
          <w:p w14:paraId="761C9F8C">
            <w:pPr>
              <w:tabs>
                <w:tab w:val="left" w:pos="1260"/>
              </w:tabs>
              <w:jc w:val="center"/>
              <w:rPr>
                <w:rFonts w:hint="eastAsia" w:ascii="仿宋" w:hAnsi="仿宋" w:eastAsia="仿宋"/>
                <w:color w:val="000000"/>
                <w:sz w:val="24"/>
                <w:szCs w:val="24"/>
              </w:rPr>
            </w:pPr>
            <w:r>
              <w:rPr>
                <w:rFonts w:hint="eastAsia" w:ascii="仿宋" w:hAnsi="仿宋" w:eastAsia="仿宋"/>
                <w:color w:val="000000"/>
                <w:sz w:val="24"/>
                <w:szCs w:val="24"/>
              </w:rPr>
              <w:t>7.4开展招标投标制度规则清理整合</w:t>
            </w:r>
          </w:p>
        </w:tc>
        <w:tc>
          <w:tcPr>
            <w:tcW w:w="5102" w:type="dxa"/>
            <w:vAlign w:val="center"/>
          </w:tcPr>
          <w:p w14:paraId="1B02B782">
            <w:pPr>
              <w:tabs>
                <w:tab w:val="left" w:pos="1260"/>
              </w:tabs>
              <w:jc w:val="left"/>
              <w:rPr>
                <w:rFonts w:hint="eastAsia" w:ascii="仿宋" w:hAnsi="仿宋" w:eastAsia="仿宋"/>
                <w:color w:val="000000"/>
                <w:sz w:val="24"/>
                <w:szCs w:val="24"/>
              </w:rPr>
            </w:pPr>
            <w:r>
              <w:rPr>
                <w:rFonts w:hint="eastAsia" w:ascii="仿宋" w:hAnsi="仿宋" w:eastAsia="仿宋"/>
                <w:color w:val="000000"/>
                <w:sz w:val="24"/>
                <w:szCs w:val="24"/>
                <w:lang w:eastAsia="zh-CN"/>
              </w:rPr>
              <w:t>主动对接上级部门，强化本部门本领域</w:t>
            </w:r>
            <w:r>
              <w:rPr>
                <w:rFonts w:hint="eastAsia" w:ascii="仿宋" w:hAnsi="仿宋" w:eastAsia="仿宋"/>
                <w:color w:val="000000"/>
                <w:sz w:val="24"/>
                <w:szCs w:val="24"/>
              </w:rPr>
              <w:t>全省招标投标规章、规范性文件清理整合</w:t>
            </w:r>
            <w:r>
              <w:rPr>
                <w:rFonts w:hint="eastAsia" w:ascii="仿宋" w:hAnsi="仿宋" w:eastAsia="仿宋"/>
                <w:color w:val="000000"/>
                <w:sz w:val="24"/>
                <w:szCs w:val="24"/>
                <w:lang w:eastAsia="zh-CN"/>
              </w:rPr>
              <w:t>。</w:t>
            </w:r>
          </w:p>
        </w:tc>
        <w:tc>
          <w:tcPr>
            <w:tcW w:w="3120" w:type="dxa"/>
            <w:vAlign w:val="center"/>
          </w:tcPr>
          <w:p w14:paraId="7F9DFE4F">
            <w:pPr>
              <w:tabs>
                <w:tab w:val="left" w:pos="1260"/>
              </w:tabs>
              <w:jc w:val="left"/>
              <w:rPr>
                <w:rFonts w:hint="eastAsia" w:ascii="仿宋" w:hAnsi="仿宋" w:eastAsia="仿宋"/>
                <w:color w:val="000000"/>
                <w:sz w:val="24"/>
                <w:szCs w:val="24"/>
                <w:lang w:val="en-US" w:eastAsia="zh-CN"/>
              </w:rPr>
            </w:pPr>
            <w:r>
              <w:rPr>
                <w:rFonts w:hint="eastAsia" w:ascii="仿宋" w:hAnsi="仿宋" w:eastAsia="仿宋"/>
                <w:color w:val="000000"/>
                <w:sz w:val="24"/>
                <w:szCs w:val="24"/>
                <w:lang w:eastAsia="zh-CN"/>
              </w:rPr>
              <w:t>区司法局、</w:t>
            </w:r>
            <w:r>
              <w:rPr>
                <w:rFonts w:hint="eastAsia" w:ascii="仿宋" w:hAnsi="仿宋" w:eastAsia="仿宋"/>
                <w:color w:val="000000"/>
                <w:sz w:val="24"/>
                <w:szCs w:val="24"/>
                <w:lang w:val="en-US" w:eastAsia="zh-CN"/>
              </w:rPr>
              <w:t>区</w:t>
            </w:r>
            <w:r>
              <w:rPr>
                <w:rFonts w:hint="eastAsia" w:ascii="仿宋" w:hAnsi="仿宋" w:eastAsia="仿宋"/>
                <w:color w:val="000000"/>
                <w:sz w:val="24"/>
                <w:szCs w:val="24"/>
                <w:lang w:eastAsia="zh-CN"/>
              </w:rPr>
              <w:t>住房和城市建设局、市政工程服务中心、水务局、园林绿化服务中心等按职责分工推进</w:t>
            </w:r>
          </w:p>
        </w:tc>
        <w:tc>
          <w:tcPr>
            <w:tcW w:w="1063" w:type="dxa"/>
            <w:vMerge w:val="continue"/>
            <w:vAlign w:val="center"/>
          </w:tcPr>
          <w:p w14:paraId="7305DBFA">
            <w:pPr>
              <w:tabs>
                <w:tab w:val="left" w:pos="1260"/>
              </w:tabs>
              <w:jc w:val="center"/>
              <w:rPr>
                <w:rFonts w:hint="eastAsia" w:ascii="仿宋" w:hAnsi="仿宋" w:eastAsia="仿宋"/>
                <w:color w:val="000000"/>
                <w:sz w:val="24"/>
                <w:szCs w:val="24"/>
              </w:rPr>
            </w:pPr>
          </w:p>
        </w:tc>
        <w:tc>
          <w:tcPr>
            <w:tcW w:w="2009" w:type="dxa"/>
            <w:vMerge w:val="continue"/>
            <w:vAlign w:val="center"/>
          </w:tcPr>
          <w:p w14:paraId="213A1FF7">
            <w:pPr>
              <w:tabs>
                <w:tab w:val="left" w:pos="1260"/>
              </w:tabs>
              <w:jc w:val="center"/>
              <w:rPr>
                <w:rFonts w:hint="eastAsia" w:ascii="仿宋" w:hAnsi="仿宋" w:eastAsia="仿宋"/>
                <w:color w:val="000000"/>
                <w:sz w:val="24"/>
                <w:szCs w:val="24"/>
              </w:rPr>
            </w:pPr>
          </w:p>
        </w:tc>
      </w:tr>
    </w:tbl>
    <w:p w14:paraId="1FF4B3A9"/>
    <w:p w14:paraId="0BD5C4BE"/>
    <w:p w14:paraId="0E40F563"/>
    <w:p w14:paraId="38817058">
      <w:pPr>
        <w:spacing w:line="360" w:lineRule="exact"/>
        <w:rPr>
          <w:rFonts w:ascii="仿宋" w:hAnsi="仿宋" w:eastAsia="仿宋"/>
          <w:sz w:val="24"/>
          <w:szCs w:val="24"/>
        </w:rPr>
      </w:pPr>
      <w:r>
        <w:rPr>
          <w:rFonts w:ascii="仿宋" w:hAnsi="仿宋" w:eastAsia="仿宋"/>
          <w:color w:val="000000"/>
          <w:sz w:val="24"/>
          <w:szCs w:val="24"/>
        </w:rPr>
        <w:t>备注：以上任务目标及措施将结合优化营商环境评价相关要求适时进行补充完善，各部门单位应按照职责分工，对照“重点任务”事项，组织人员团队进一步细化措施，优化方案，对标全国一流水平，在本行业领域创新开展包括但不限于上述内容的招标投标领域优化营商环境工作。</w:t>
      </w:r>
    </w:p>
    <w:p w14:paraId="2A3CE50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YzNkNTE1N2NhZTA1YzRlM2Y0NjhjYzI5OGYwZWQifQ=="/>
  </w:docVars>
  <w:rsids>
    <w:rsidRoot w:val="00000000"/>
    <w:rsid w:val="070027D8"/>
    <w:rsid w:val="18D4546E"/>
    <w:rsid w:val="77BA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4477</Words>
  <Characters>4576</Characters>
  <Lines>0</Lines>
  <Paragraphs>0</Paragraphs>
  <TotalTime>3</TotalTime>
  <ScaleCrop>false</ScaleCrop>
  <LinksUpToDate>false</LinksUpToDate>
  <CharactersWithSpaces>4576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中华神牛</cp:lastModifiedBy>
  <cp:lastPrinted>2021-10-27T03:01:00Z</cp:lastPrinted>
  <dcterms:modified xsi:type="dcterms:W3CDTF">2024-08-26T05:38:12Z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2E3CEB70559240CE9285A7879FF332A9</vt:lpwstr>
  </property>
</Properties>
</file>