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文星黑体" w:hAnsi="文星黑体" w:eastAsia="文星黑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hint="eastAsia" w:ascii="文星黑体" w:hAnsi="文星黑体" w:eastAsia="文星黑体"/>
          <w:kern w:val="2"/>
          <w:sz w:val="44"/>
          <w:szCs w:val="44"/>
          <w:lang w:val="en-US" w:eastAsia="zh-CN" w:bidi="ar-SA"/>
        </w:rPr>
        <w:t>商河县关于做好涉发展改革领域非法集资风险排查工作的通知</w:t>
      </w:r>
    </w:p>
    <w:bookmarkEnd w:id="0"/>
    <w:p>
      <w:pPr>
        <w:jc w:val="center"/>
        <w:rPr>
          <w:rStyle w:val="5"/>
          <w:rFonts w:hint="eastAsia" w:ascii="文星黑体" w:hAnsi="文星黑体" w:eastAsia="文星黑体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根据市发改委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《关于做好涉发展改革领域非法集资风险排查工作的通知》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要求，为做好我县涉发展改革领域非法集资排查工作，请各单位按通知要求，将相关工作成效及进展形成书面报告，同时填报《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涉发展改革领域非法集资风险排查情况表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1月10日中午12时前提报至县发改局邮箱shxfgwggk@jn.shandong.cn。</w:t>
      </w:r>
    </w:p>
    <w:p>
      <w:pPr>
        <w:ind w:firstLine="640" w:firstLineChars="200"/>
        <w:jc w:val="both"/>
        <w:textAlignment w:val="baseline"/>
        <w:rPr>
          <w:rStyle w:val="5"/>
          <w:rFonts w:hint="default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联系电话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68780517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附件：关于做好涉发展改革领域非法集资风险排查工作的通知</w:t>
      </w:r>
    </w:p>
    <w:p>
      <w:pPr>
        <w:ind w:left="1598" w:leftChars="304" w:hanging="960" w:hangingChars="3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ind w:left="1598" w:leftChars="304" w:hanging="960" w:hangingChars="3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ind w:left="1598" w:leftChars="304" w:hanging="960" w:hangingChars="300"/>
        <w:jc w:val="right"/>
        <w:textAlignment w:val="baseline"/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商河县发展和改革局</w:t>
      </w:r>
    </w:p>
    <w:p>
      <w:pPr>
        <w:ind w:left="1598" w:leftChars="304" w:hanging="960" w:hangingChars="300"/>
        <w:jc w:val="right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202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1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8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23BC2"/>
    <w:rsid w:val="189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link w:val="1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别听猫说</cp:lastModifiedBy>
  <dcterms:modified xsi:type="dcterms:W3CDTF">2022-03-29T02:49:46Z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E8F7343273BE49F493FF1FE22C81DF81</vt:lpwstr>
  </property>
</Properties>
</file>