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20" w:rsidRDefault="00784720">
      <w:pPr>
        <w:widowControl/>
        <w:jc w:val="center"/>
        <w:rPr>
          <w:rFonts w:ascii="方正小标宋简体" w:eastAsia="方正小标宋简体" w:hAnsi="方正小标宋简体" w:cs="方正小标宋简体"/>
          <w:color w:val="000000"/>
          <w:kern w:val="0"/>
          <w:sz w:val="55"/>
          <w:szCs w:val="55"/>
          <w:lang w:bidi="ar"/>
        </w:rPr>
      </w:pPr>
    </w:p>
    <w:p w:rsidR="00784720" w:rsidRDefault="00375CA6">
      <w:pPr>
        <w:widowControl/>
        <w:jc w:val="center"/>
        <w:rPr>
          <w:rFonts w:ascii="方正小标宋简体" w:eastAsia="方正小标宋简体" w:hAnsi="方正小标宋简体" w:cs="方正小标宋简体"/>
          <w:color w:val="000000"/>
          <w:kern w:val="0"/>
          <w:sz w:val="52"/>
          <w:szCs w:val="52"/>
          <w:lang w:bidi="ar"/>
        </w:rPr>
      </w:pPr>
      <w:r>
        <w:rPr>
          <w:rFonts w:ascii="方正小标宋简体" w:eastAsia="方正小标宋简体" w:hAnsi="方正小标宋简体" w:cs="方正小标宋简体"/>
          <w:color w:val="000000"/>
          <w:kern w:val="0"/>
          <w:sz w:val="52"/>
          <w:szCs w:val="52"/>
          <w:lang w:bidi="ar"/>
        </w:rPr>
        <w:t>济南市创建全国社会信用体系建设</w:t>
      </w:r>
      <w:r>
        <w:rPr>
          <w:rFonts w:ascii="方正小标宋简体" w:eastAsia="方正小标宋简体" w:hAnsi="方正小标宋简体" w:cs="方正小标宋简体" w:hint="eastAsia"/>
          <w:color w:val="000000"/>
          <w:kern w:val="0"/>
          <w:sz w:val="52"/>
          <w:szCs w:val="52"/>
          <w:lang w:bidi="ar"/>
        </w:rPr>
        <w:t>示范区工作</w:t>
      </w:r>
    </w:p>
    <w:p w:rsidR="00784720" w:rsidRDefault="00375CA6">
      <w:pPr>
        <w:widowControl/>
        <w:jc w:val="center"/>
        <w:rPr>
          <w:sz w:val="52"/>
          <w:szCs w:val="52"/>
        </w:rPr>
      </w:pPr>
      <w:r>
        <w:rPr>
          <w:rFonts w:ascii="方正小标宋简体" w:eastAsia="方正小标宋简体" w:hAnsi="方正小标宋简体" w:cs="方正小标宋简体" w:hint="eastAsia"/>
          <w:color w:val="000000"/>
          <w:kern w:val="0"/>
          <w:sz w:val="52"/>
          <w:szCs w:val="52"/>
          <w:lang w:bidi="ar"/>
        </w:rPr>
        <w:t>历下区任务分工手册</w:t>
      </w:r>
    </w:p>
    <w:p w:rsidR="00784720" w:rsidRDefault="00784720"/>
    <w:p w:rsidR="00784720" w:rsidRDefault="00784720"/>
    <w:p w:rsidR="00784720" w:rsidRDefault="00784720"/>
    <w:p w:rsidR="00784720" w:rsidRDefault="00784720"/>
    <w:p w:rsidR="00784720" w:rsidRDefault="00784720"/>
    <w:p w:rsidR="00784720" w:rsidRDefault="00784720"/>
    <w:p w:rsidR="00784720" w:rsidRDefault="00784720"/>
    <w:p w:rsidR="00784720" w:rsidRDefault="00784720"/>
    <w:p w:rsidR="00784720" w:rsidRDefault="00784720"/>
    <w:p w:rsidR="00784720" w:rsidRDefault="00784720">
      <w:pPr>
        <w:jc w:val="center"/>
        <w:rPr>
          <w:rFonts w:ascii="楷体" w:eastAsia="楷体" w:hAnsi="楷体" w:cs="楷体"/>
          <w:b/>
          <w:bCs/>
          <w:sz w:val="32"/>
          <w:szCs w:val="32"/>
        </w:rPr>
      </w:pPr>
    </w:p>
    <w:p w:rsidR="00784720" w:rsidRDefault="00375CA6">
      <w:pPr>
        <w:jc w:val="center"/>
        <w:rPr>
          <w:rFonts w:ascii="楷体" w:eastAsia="楷体" w:hAnsi="楷体" w:cs="楷体"/>
          <w:b/>
          <w:bCs/>
          <w:sz w:val="32"/>
          <w:szCs w:val="32"/>
        </w:rPr>
      </w:pPr>
      <w:r>
        <w:rPr>
          <w:rFonts w:ascii="楷体" w:eastAsia="楷体" w:hAnsi="楷体" w:cs="楷体" w:hint="eastAsia"/>
          <w:b/>
          <w:bCs/>
          <w:sz w:val="32"/>
          <w:szCs w:val="32"/>
        </w:rPr>
        <w:t>历下区社会信用体系建设领导小组办公室</w:t>
      </w:r>
    </w:p>
    <w:p w:rsidR="00784720" w:rsidRDefault="00375CA6">
      <w:pPr>
        <w:jc w:val="center"/>
        <w:rPr>
          <w:rFonts w:ascii="楷体" w:eastAsia="楷体" w:hAnsi="楷体" w:cs="楷体"/>
          <w:b/>
          <w:bCs/>
          <w:sz w:val="32"/>
          <w:szCs w:val="32"/>
        </w:rPr>
      </w:pPr>
      <w:r>
        <w:rPr>
          <w:rFonts w:ascii="楷体" w:eastAsia="楷体" w:hAnsi="楷体" w:cs="楷体" w:hint="eastAsia"/>
          <w:b/>
          <w:bCs/>
          <w:sz w:val="32"/>
          <w:szCs w:val="32"/>
        </w:rPr>
        <w:t>2021年6月</w:t>
      </w:r>
    </w:p>
    <w:p w:rsidR="00784720" w:rsidRDefault="00784720">
      <w:pPr>
        <w:rPr>
          <w:rFonts w:ascii="楷体" w:eastAsia="楷体" w:hAnsi="楷体" w:cs="楷体"/>
          <w:b/>
          <w:bCs/>
          <w:sz w:val="32"/>
          <w:szCs w:val="32"/>
        </w:rPr>
      </w:pPr>
    </w:p>
    <w:p w:rsidR="00784720" w:rsidRDefault="00375CA6">
      <w:pPr>
        <w:numPr>
          <w:ilvl w:val="0"/>
          <w:numId w:val="1"/>
        </w:numPr>
        <w:rPr>
          <w:rFonts w:ascii="黑体" w:eastAsia="黑体" w:hAnsi="黑体" w:cs="黑体"/>
          <w:sz w:val="32"/>
          <w:szCs w:val="32"/>
        </w:rPr>
      </w:pPr>
      <w:r>
        <w:rPr>
          <w:rFonts w:ascii="黑体" w:eastAsia="黑体" w:hAnsi="黑体" w:cs="黑体" w:hint="eastAsia"/>
          <w:sz w:val="32"/>
          <w:szCs w:val="32"/>
        </w:rPr>
        <w:lastRenderedPageBreak/>
        <w:t>区直各部门</w:t>
      </w:r>
    </w:p>
    <w:tbl>
      <w:tblPr>
        <w:tblStyle w:val="a3"/>
        <w:tblW w:w="14913" w:type="dxa"/>
        <w:tblInd w:w="-457" w:type="dxa"/>
        <w:tblLook w:val="04A0" w:firstRow="1" w:lastRow="0" w:firstColumn="1" w:lastColumn="0" w:noHBand="0" w:noVBand="1"/>
      </w:tblPr>
      <w:tblGrid>
        <w:gridCol w:w="938"/>
        <w:gridCol w:w="6750"/>
        <w:gridCol w:w="3012"/>
        <w:gridCol w:w="1763"/>
        <w:gridCol w:w="2450"/>
      </w:tblGrid>
      <w:tr w:rsidR="00784720">
        <w:tc>
          <w:tcPr>
            <w:tcW w:w="938"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序号</w:t>
            </w:r>
          </w:p>
        </w:tc>
        <w:tc>
          <w:tcPr>
            <w:tcW w:w="6750"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具体任务</w:t>
            </w:r>
          </w:p>
        </w:tc>
        <w:tc>
          <w:tcPr>
            <w:tcW w:w="3012"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责任部门</w:t>
            </w:r>
          </w:p>
        </w:tc>
        <w:tc>
          <w:tcPr>
            <w:tcW w:w="1763"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完成时限</w:t>
            </w:r>
          </w:p>
        </w:tc>
        <w:tc>
          <w:tcPr>
            <w:tcW w:w="2450"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佐证方式</w:t>
            </w:r>
          </w:p>
        </w:tc>
      </w:tr>
      <w:tr w:rsidR="00784720">
        <w:tc>
          <w:tcPr>
            <w:tcW w:w="938" w:type="dxa"/>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全面清理统一社会信用代码重错码</w:t>
            </w:r>
            <w:r w:rsidR="006F5EFD">
              <w:rPr>
                <w:rFonts w:ascii="仿宋_GB2312" w:eastAsia="仿宋_GB2312" w:hAnsi="宋体" w:cs="仿宋_GB2312" w:hint="eastAsia"/>
                <w:color w:val="000000"/>
                <w:kern w:val="0"/>
                <w:sz w:val="28"/>
                <w:szCs w:val="28"/>
                <w:lang w:bidi="ar"/>
              </w:rPr>
              <w:t>。</w:t>
            </w:r>
          </w:p>
        </w:tc>
        <w:tc>
          <w:tcPr>
            <w:tcW w:w="3012" w:type="dxa"/>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区发改局、区委编办</w:t>
            </w:r>
          </w:p>
        </w:tc>
        <w:tc>
          <w:tcPr>
            <w:tcW w:w="1763" w:type="dxa"/>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proofErr w:type="gramStart"/>
            <w:r>
              <w:rPr>
                <w:rFonts w:ascii="仿宋_GB2312" w:eastAsia="仿宋_GB2312" w:hAnsi="宋体" w:cs="仿宋_GB2312" w:hint="eastAsia"/>
                <w:color w:val="000000"/>
                <w:kern w:val="0"/>
                <w:sz w:val="28"/>
                <w:szCs w:val="28"/>
                <w:lang w:bidi="ar"/>
              </w:rPr>
              <w:t>清理台</w:t>
            </w:r>
            <w:proofErr w:type="gramEnd"/>
            <w:r>
              <w:rPr>
                <w:rFonts w:ascii="仿宋_GB2312" w:eastAsia="仿宋_GB2312" w:hAnsi="宋体" w:cs="仿宋_GB2312" w:hint="eastAsia"/>
                <w:color w:val="000000"/>
                <w:kern w:val="0"/>
                <w:sz w:val="28"/>
                <w:szCs w:val="28"/>
                <w:lang w:bidi="ar"/>
              </w:rPr>
              <w:t>账</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政务服务大厅全面接入全国信用信息共享平台（山东济南），将信用信息核查嵌入各项业务办理流程。</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区行政</w:t>
            </w:r>
            <w:proofErr w:type="gramStart"/>
            <w:r>
              <w:rPr>
                <w:rFonts w:ascii="仿宋_GB2312" w:eastAsia="仿宋_GB2312" w:hAnsi="宋体" w:cs="仿宋_GB2312" w:hint="eastAsia"/>
                <w:color w:val="000000"/>
                <w:kern w:val="0"/>
                <w:sz w:val="28"/>
                <w:szCs w:val="28"/>
                <w:lang w:bidi="ar"/>
              </w:rPr>
              <w:t>审批局</w:t>
            </w:r>
            <w:proofErr w:type="gramEnd"/>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3</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确保上报至</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信用中国（山东济南）</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网站的各项新闻及信息符合中央意识形态工作要求。</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区发改局、区委宣传部</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tcPr>
          <w:p w:rsidR="00784720" w:rsidRDefault="00375CA6">
            <w:pPr>
              <w:jc w:val="center"/>
              <w:rPr>
                <w:rFonts w:ascii="仿宋" w:eastAsia="仿宋" w:hAnsi="仿宋" w:cs="仿宋"/>
                <w:sz w:val="28"/>
                <w:szCs w:val="28"/>
              </w:rPr>
            </w:pPr>
            <w:r>
              <w:rPr>
                <w:rFonts w:ascii="仿宋" w:eastAsia="仿宋" w:hAnsi="仿宋" w:cs="仿宋" w:hint="eastAsia"/>
                <w:sz w:val="28"/>
                <w:szCs w:val="28"/>
              </w:rPr>
              <w:t>4</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党政机关、事业单位失信案件</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零存量、零增量</w:t>
            </w:r>
            <w:r>
              <w:rPr>
                <w:rFonts w:ascii="仿宋_GB2312" w:eastAsia="仿宋_GB2312" w:hAnsi="宋体" w:cs="仿宋_GB2312"/>
                <w:color w:val="000000"/>
                <w:kern w:val="0"/>
                <w:sz w:val="28"/>
                <w:szCs w:val="28"/>
                <w:lang w:bidi="ar"/>
              </w:rPr>
              <w:t>”</w:t>
            </w:r>
            <w:r>
              <w:rPr>
                <w:rFonts w:ascii="仿宋_GB2312" w:eastAsia="仿宋_GB2312" w:hAnsi="宋体" w:cs="仿宋_GB2312" w:hint="eastAsia"/>
                <w:color w:val="000000"/>
                <w:kern w:val="0"/>
                <w:sz w:val="28"/>
                <w:szCs w:val="28"/>
                <w:lang w:bidi="ar"/>
              </w:rPr>
              <w:t>。</w:t>
            </w:r>
          </w:p>
        </w:tc>
        <w:tc>
          <w:tcPr>
            <w:tcW w:w="3012"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各区直部门、事业单位</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tcPr>
          <w:p w:rsidR="00784720" w:rsidRDefault="00375CA6">
            <w:pPr>
              <w:widowControl/>
              <w:jc w:val="left"/>
              <w:rPr>
                <w:rFonts w:ascii="仿宋_GB2312" w:eastAsia="仿宋_GB2312" w:hAnsi="宋体" w:cs="仿宋_GB2312"/>
                <w:color w:val="000000"/>
                <w:kern w:val="0"/>
                <w:sz w:val="28"/>
                <w:szCs w:val="28"/>
                <w:lang w:bidi="ar"/>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13970</wp:posOffset>
                      </wp:positionV>
                      <wp:extent cx="1555750" cy="396240"/>
                      <wp:effectExtent l="1270" t="6350" r="5080" b="16510"/>
                      <wp:wrapNone/>
                      <wp:docPr id="1" name="直接连接符 1"/>
                      <wp:cNvGraphicFramePr/>
                      <a:graphic xmlns:a="http://schemas.openxmlformats.org/drawingml/2006/main">
                        <a:graphicData uri="http://schemas.microsoft.com/office/word/2010/wordprocessingShape">
                          <wps:wsp>
                            <wps:cNvCnPr/>
                            <wps:spPr>
                              <a:xfrm>
                                <a:off x="8493125" y="3961765"/>
                                <a:ext cx="155575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4pt;margin-top:1.1pt;height:31.2pt;width:122.5pt;z-index:251659264;mso-width-relative:page;mso-height-relative:page;" filled="f" stroked="t" coordsize="21600,21600" o:gfxdata="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HnNxfXAAAACAEAAA8AAAAAAAAAAQAgAAAAIgAAAGRycy9kb3ducmV2LnhtbFBLAQIU&#10;ABQAAAAIAIdO4kCM8Z2W9AEAAMIDAAAOAAAAAAAAAAEAIAAAACYBAABkcnMvZTJvRG9jLnhtbFBL&#10;BQYAAAAABgAGAFkBAACMBQAAAAA=&#10;">
                      <v:fill on="f" focussize="0,0"/>
                      <v:stroke weight="0.5pt" color="#000000 [3200]" miterlimit="8" joinstyle="miter"/>
                      <v:imagedata o:title=""/>
                      <o:lock v:ext="edit" aspectratio="f"/>
                    </v:line>
                  </w:pict>
                </mc:Fallback>
              </mc:AlternateContent>
            </w:r>
          </w:p>
        </w:tc>
      </w:tr>
      <w:tr w:rsidR="00784720">
        <w:tc>
          <w:tcPr>
            <w:tcW w:w="938"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5</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 xml:space="preserve">确保地方政府债券、地方政府隐性债务、地方国有企 </w:t>
            </w:r>
            <w:proofErr w:type="gramStart"/>
            <w:r>
              <w:rPr>
                <w:rFonts w:ascii="仿宋_GB2312" w:eastAsia="仿宋_GB2312" w:hAnsi="宋体" w:cs="仿宋_GB2312"/>
                <w:color w:val="000000"/>
                <w:kern w:val="0"/>
                <w:sz w:val="28"/>
                <w:szCs w:val="28"/>
                <w:lang w:bidi="ar"/>
              </w:rPr>
              <w:t>业发行</w:t>
            </w:r>
            <w:proofErr w:type="gramEnd"/>
            <w:r>
              <w:rPr>
                <w:rFonts w:ascii="仿宋_GB2312" w:eastAsia="仿宋_GB2312" w:hAnsi="宋体" w:cs="仿宋_GB2312"/>
                <w:color w:val="000000"/>
                <w:kern w:val="0"/>
                <w:sz w:val="28"/>
                <w:szCs w:val="28"/>
                <w:lang w:bidi="ar"/>
              </w:rPr>
              <w:t>的企业债券未发生违约事件。</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区财政局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tcPr>
          <w:p w:rsidR="00784720" w:rsidRDefault="00375CA6">
            <w:pPr>
              <w:widowControl/>
              <w:jc w:val="left"/>
              <w:rPr>
                <w:rFonts w:ascii="仿宋_GB2312" w:eastAsia="仿宋_GB2312" w:hAnsi="宋体" w:cs="仿宋_GB2312"/>
                <w:color w:val="000000"/>
                <w:kern w:val="0"/>
                <w:sz w:val="28"/>
                <w:szCs w:val="28"/>
                <w:lang w:bidi="ar"/>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7620</wp:posOffset>
                      </wp:positionV>
                      <wp:extent cx="1555750" cy="770255"/>
                      <wp:effectExtent l="1905" t="4445" r="4445" b="6350"/>
                      <wp:wrapNone/>
                      <wp:docPr id="2" name="直接连接符 2"/>
                      <wp:cNvGraphicFramePr/>
                      <a:graphic xmlns:a="http://schemas.openxmlformats.org/drawingml/2006/main">
                        <a:graphicData uri="http://schemas.microsoft.com/office/word/2010/wordprocessingShape">
                          <wps:wsp>
                            <wps:cNvCnPr/>
                            <wps:spPr>
                              <a:xfrm>
                                <a:off x="8469630" y="4358640"/>
                                <a:ext cx="1555750" cy="770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4pt;margin-top:0.6pt;height:60.65pt;width:122.5pt;z-index:251660288;mso-width-relative:page;mso-height-relative:page;" filled="f" stroked="t" coordsize="21600,21600" o:gfxdata="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K5ws1gAAAAkBAAAPAAAAAAAAAAEAIAAAACIAAABkcnMvZG93bnJldi54bWxQSwECFAAU&#10;AAAACACHTuJAMriQu/MBAADCAwAADgAAAAAAAAABACAAAAAlAQAAZHJzL2Uyb0RvYy54bWxQSwUG&#10;AAAAAAYABgBZAQAAigUAAAAA&#10;">
                      <v:fill on="f" focussize="0,0"/>
                      <v:stroke weight="0.5pt" color="#000000 [3200]" miterlimit="8" joinstyle="miter"/>
                      <v:imagedata o:title=""/>
                      <o:lock v:ext="edit" aspectratio="f"/>
                    </v:line>
                  </w:pict>
                </mc:Fallback>
              </mc:AlternateContent>
            </w:r>
          </w:p>
        </w:tc>
      </w:tr>
      <w:tr w:rsidR="00784720">
        <w:trPr>
          <w:trHeight w:val="1416"/>
        </w:trPr>
        <w:tc>
          <w:tcPr>
            <w:tcW w:w="938"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 xml:space="preserve">全面梳理、修订已出台的各项包含信用内容的制度文 </w:t>
            </w:r>
            <w:r>
              <w:rPr>
                <w:rFonts w:ascii="仿宋_GB2312" w:eastAsia="仿宋_GB2312" w:hAnsi="宋体" w:cs="仿宋_GB2312"/>
                <w:color w:val="000000"/>
                <w:kern w:val="0"/>
                <w:sz w:val="28"/>
                <w:szCs w:val="28"/>
                <w:lang w:bidi="ar"/>
              </w:rPr>
              <w:t>件，确保各项信用措施全部于法于</w:t>
            </w:r>
            <w:proofErr w:type="gramStart"/>
            <w:r>
              <w:rPr>
                <w:rFonts w:ascii="仿宋_GB2312" w:eastAsia="仿宋_GB2312" w:hAnsi="宋体" w:cs="仿宋_GB2312"/>
                <w:color w:val="000000"/>
                <w:kern w:val="0"/>
                <w:sz w:val="28"/>
                <w:szCs w:val="28"/>
                <w:lang w:bidi="ar"/>
              </w:rPr>
              <w:t>规</w:t>
            </w:r>
            <w:proofErr w:type="gramEnd"/>
            <w:r>
              <w:rPr>
                <w:rFonts w:ascii="仿宋_GB2312" w:eastAsia="仿宋_GB2312" w:hAnsi="宋体" w:cs="仿宋_GB2312"/>
                <w:color w:val="000000"/>
                <w:kern w:val="0"/>
                <w:sz w:val="28"/>
                <w:szCs w:val="28"/>
                <w:lang w:bidi="ar"/>
              </w:rPr>
              <w:t>有据。</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各区直部门</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tcPr>
          <w:p w:rsidR="00784720" w:rsidRDefault="00375CA6">
            <w:pPr>
              <w:widowControl/>
              <w:jc w:val="left"/>
              <w:rPr>
                <w:sz w:val="28"/>
              </w:rPr>
            </w:pPr>
            <w:r>
              <w:rPr>
                <w:rFonts w:ascii="仿宋_GB2312" w:eastAsia="仿宋_GB2312" w:hAnsi="宋体" w:cs="仿宋_GB2312" w:hint="eastAsia"/>
                <w:color w:val="000000"/>
                <w:kern w:val="0"/>
                <w:sz w:val="28"/>
                <w:szCs w:val="28"/>
                <w:lang w:bidi="ar"/>
              </w:rPr>
              <w:t>提供相应的制度文件</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7</w:t>
            </w:r>
          </w:p>
        </w:tc>
        <w:tc>
          <w:tcPr>
            <w:tcW w:w="67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全面贯彻落实国家、省、市关于全面推行证明事项和</w:t>
            </w:r>
            <w:proofErr w:type="gramStart"/>
            <w:r>
              <w:rPr>
                <w:rFonts w:ascii="仿宋_GB2312" w:eastAsia="仿宋_GB2312" w:hAnsi="宋体" w:cs="仿宋_GB2312"/>
                <w:color w:val="000000"/>
                <w:kern w:val="0"/>
                <w:sz w:val="28"/>
                <w:szCs w:val="28"/>
                <w:lang w:bidi="ar"/>
              </w:rPr>
              <w:t>涉企</w:t>
            </w:r>
            <w:proofErr w:type="gramEnd"/>
            <w:r>
              <w:rPr>
                <w:rFonts w:ascii="仿宋_GB2312" w:eastAsia="仿宋_GB2312" w:hAnsi="宋体" w:cs="仿宋_GB2312"/>
                <w:color w:val="000000"/>
                <w:kern w:val="0"/>
                <w:sz w:val="28"/>
                <w:szCs w:val="28"/>
                <w:lang w:bidi="ar"/>
              </w:rPr>
              <w:t>经营许可事项告知承诺制的工作部署。</w:t>
            </w:r>
            <w:r>
              <w:rPr>
                <w:rFonts w:ascii="仿宋_GB2312" w:eastAsia="仿宋_GB2312" w:hAnsi="宋体" w:cs="仿宋_GB2312" w:hint="eastAsia"/>
                <w:color w:val="000000"/>
                <w:kern w:val="0"/>
                <w:sz w:val="28"/>
                <w:szCs w:val="28"/>
                <w:lang w:bidi="ar"/>
              </w:rPr>
              <w:t>及时归集</w:t>
            </w:r>
            <w:r>
              <w:rPr>
                <w:rFonts w:ascii="仿宋_GB2312" w:eastAsia="仿宋_GB2312" w:hAnsi="宋体" w:cs="仿宋_GB2312"/>
                <w:color w:val="000000"/>
                <w:kern w:val="0"/>
                <w:sz w:val="28"/>
                <w:szCs w:val="28"/>
                <w:lang w:bidi="ar"/>
              </w:rPr>
              <w:t>信用承诺及履约践诺信息。</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区行政</w:t>
            </w:r>
            <w:proofErr w:type="gramStart"/>
            <w:r>
              <w:rPr>
                <w:rFonts w:ascii="仿宋_GB2312" w:eastAsia="仿宋_GB2312" w:hAnsi="宋体" w:cs="仿宋_GB2312" w:hint="eastAsia"/>
                <w:color w:val="000000"/>
                <w:kern w:val="0"/>
                <w:sz w:val="28"/>
                <w:szCs w:val="28"/>
                <w:lang w:bidi="ar"/>
              </w:rPr>
              <w:t>审批局</w:t>
            </w:r>
            <w:proofErr w:type="gramEnd"/>
          </w:p>
        </w:tc>
        <w:tc>
          <w:tcPr>
            <w:tcW w:w="1763" w:type="dxa"/>
            <w:vAlign w:val="center"/>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第一轮6月10日前，第二轮6月20日前</w:t>
            </w:r>
          </w:p>
        </w:tc>
        <w:tc>
          <w:tcPr>
            <w:tcW w:w="2450" w:type="dxa"/>
          </w:tcPr>
          <w:p w:rsidR="00784720" w:rsidRDefault="00375CA6">
            <w:pPr>
              <w:widowControl/>
              <w:spacing w:line="44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提供告知承诺制相关制度文件，提报《信用承诺信息台账》及《信用承诺履约践诺情况信息台账》（见附件2）</w:t>
            </w:r>
          </w:p>
        </w:tc>
      </w:tr>
      <w:tr w:rsidR="00784720">
        <w:trPr>
          <w:trHeight w:val="2190"/>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8</w:t>
            </w:r>
          </w:p>
        </w:tc>
        <w:tc>
          <w:tcPr>
            <w:tcW w:w="67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确保行政许可、行政处罚</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双</w:t>
            </w:r>
            <w:r>
              <w:rPr>
                <w:rFonts w:ascii="仿宋_GB2312" w:eastAsia="仿宋_GB2312" w:hAnsi="宋体" w:cs="仿宋_GB2312" w:hint="eastAsia"/>
                <w:color w:val="000000"/>
                <w:kern w:val="0"/>
                <w:sz w:val="28"/>
                <w:szCs w:val="28"/>
                <w:lang w:bidi="ar"/>
              </w:rPr>
              <w:t>公</w:t>
            </w:r>
            <w:r>
              <w:rPr>
                <w:rFonts w:ascii="仿宋_GB2312" w:eastAsia="仿宋_GB2312" w:hAnsi="宋体" w:cs="仿宋_GB2312"/>
                <w:color w:val="000000"/>
                <w:kern w:val="0"/>
                <w:sz w:val="28"/>
                <w:szCs w:val="28"/>
                <w:lang w:bidi="ar"/>
              </w:rPr>
              <w:t>示</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信息上报率、合</w:t>
            </w:r>
            <w:proofErr w:type="gramStart"/>
            <w:r>
              <w:rPr>
                <w:rFonts w:ascii="仿宋_GB2312" w:eastAsia="仿宋_GB2312" w:hAnsi="宋体" w:cs="仿宋_GB2312"/>
                <w:color w:val="000000"/>
                <w:kern w:val="0"/>
                <w:sz w:val="28"/>
                <w:szCs w:val="28"/>
                <w:lang w:bidi="ar"/>
              </w:rPr>
              <w:t>规</w:t>
            </w:r>
            <w:proofErr w:type="gramEnd"/>
            <w:r>
              <w:rPr>
                <w:rFonts w:ascii="仿宋_GB2312" w:eastAsia="仿宋_GB2312" w:hAnsi="宋体" w:cs="仿宋_GB2312"/>
                <w:color w:val="000000"/>
                <w:kern w:val="0"/>
                <w:sz w:val="28"/>
                <w:szCs w:val="28"/>
                <w:lang w:bidi="ar"/>
              </w:rPr>
              <w:t xml:space="preserve">率、及时率均达到 </w:t>
            </w:r>
            <w:r>
              <w:rPr>
                <w:rFonts w:ascii="Times New Roman" w:eastAsia="宋体" w:hAnsi="Times New Roman" w:cs="Times New Roman"/>
                <w:color w:val="000000"/>
                <w:kern w:val="0"/>
                <w:sz w:val="28"/>
                <w:szCs w:val="28"/>
                <w:lang w:bidi="ar"/>
              </w:rPr>
              <w:t>100%</w:t>
            </w:r>
            <w:r>
              <w:rPr>
                <w:rFonts w:ascii="Times New Roman" w:eastAsia="宋体" w:hAnsi="Times New Roman" w:cs="Times New Roman" w:hint="eastAsia"/>
                <w:color w:val="000000"/>
                <w:kern w:val="0"/>
                <w:sz w:val="28"/>
                <w:szCs w:val="28"/>
                <w:lang w:bidi="ar"/>
              </w:rPr>
              <w:t>。</w:t>
            </w:r>
            <w:r>
              <w:rPr>
                <w:rFonts w:ascii="仿宋_GB2312" w:eastAsia="仿宋_GB2312" w:hAnsi="宋体" w:cs="仿宋_GB2312" w:hint="eastAsia"/>
                <w:color w:val="000000"/>
                <w:kern w:val="0"/>
                <w:sz w:val="28"/>
                <w:szCs w:val="28"/>
                <w:lang w:bidi="ar"/>
              </w:rPr>
              <w:t>及时查看平台问题数据库，修正问题数据。</w:t>
            </w:r>
            <w:r>
              <w:rPr>
                <w:rFonts w:ascii="仿宋_GB2312" w:eastAsia="仿宋_GB2312" w:hAnsi="宋体" w:cs="仿宋_GB2312" w:hint="eastAsia"/>
                <w:b/>
                <w:bCs/>
                <w:color w:val="000000"/>
                <w:kern w:val="0"/>
                <w:sz w:val="28"/>
                <w:szCs w:val="28"/>
                <w:lang w:bidi="ar"/>
              </w:rPr>
              <w:t>（重点关注4月1日-5月31日间产生的“双公示”数据。）</w:t>
            </w:r>
          </w:p>
        </w:tc>
        <w:tc>
          <w:tcPr>
            <w:tcW w:w="3012" w:type="dxa"/>
            <w:vMerge w:val="restart"/>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区财政局、区应急管理局、区行政审批局、区市场监管局、区住建局、区城管局、生态环境历下分局、区文旅局、区卫健局、区公安分局、区税务局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平台</w:t>
            </w:r>
            <w:proofErr w:type="gramStart"/>
            <w:r>
              <w:rPr>
                <w:rFonts w:ascii="仿宋_GB2312" w:eastAsia="仿宋_GB2312" w:hAnsi="宋体" w:cs="仿宋_GB2312" w:hint="eastAsia"/>
                <w:color w:val="000000"/>
                <w:kern w:val="0"/>
                <w:sz w:val="28"/>
                <w:szCs w:val="28"/>
                <w:lang w:bidi="ar"/>
              </w:rPr>
              <w:t>导出双</w:t>
            </w:r>
            <w:proofErr w:type="gramEnd"/>
            <w:r>
              <w:rPr>
                <w:rFonts w:ascii="仿宋_GB2312" w:eastAsia="仿宋_GB2312" w:hAnsi="宋体" w:cs="仿宋_GB2312" w:hint="eastAsia"/>
                <w:color w:val="000000"/>
                <w:kern w:val="0"/>
                <w:sz w:val="28"/>
                <w:szCs w:val="28"/>
                <w:lang w:bidi="ar"/>
              </w:rPr>
              <w:t>公示台账，与</w:t>
            </w:r>
            <w:proofErr w:type="spellStart"/>
            <w:r>
              <w:rPr>
                <w:rFonts w:ascii="仿宋_GB2312" w:eastAsia="仿宋_GB2312" w:hAnsi="宋体" w:cs="仿宋_GB2312" w:hint="eastAsia"/>
                <w:color w:val="000000"/>
                <w:kern w:val="0"/>
                <w:sz w:val="28"/>
                <w:szCs w:val="28"/>
                <w:lang w:bidi="ar"/>
              </w:rPr>
              <w:t>pdf</w:t>
            </w:r>
            <w:proofErr w:type="spellEnd"/>
            <w:proofErr w:type="gramStart"/>
            <w:r>
              <w:rPr>
                <w:rFonts w:ascii="仿宋_GB2312" w:eastAsia="仿宋_GB2312" w:hAnsi="宋体" w:cs="仿宋_GB2312" w:hint="eastAsia"/>
                <w:color w:val="000000"/>
                <w:kern w:val="0"/>
                <w:sz w:val="28"/>
                <w:szCs w:val="28"/>
                <w:lang w:bidi="ar"/>
              </w:rPr>
              <w:t>版承诺</w:t>
            </w:r>
            <w:proofErr w:type="gramEnd"/>
            <w:r>
              <w:rPr>
                <w:rFonts w:ascii="仿宋_GB2312" w:eastAsia="仿宋_GB2312" w:hAnsi="宋体" w:cs="仿宋_GB2312" w:hint="eastAsia"/>
                <w:color w:val="000000"/>
                <w:kern w:val="0"/>
                <w:sz w:val="28"/>
                <w:szCs w:val="28"/>
                <w:lang w:bidi="ar"/>
              </w:rPr>
              <w:t>书（见附件3）一并报送区</w:t>
            </w:r>
            <w:proofErr w:type="gramStart"/>
            <w:r>
              <w:rPr>
                <w:rFonts w:ascii="仿宋_GB2312" w:eastAsia="仿宋_GB2312" w:hAnsi="宋体" w:cs="仿宋_GB2312" w:hint="eastAsia"/>
                <w:color w:val="000000"/>
                <w:kern w:val="0"/>
                <w:sz w:val="28"/>
                <w:szCs w:val="28"/>
                <w:lang w:bidi="ar"/>
              </w:rPr>
              <w:t>发改局</w:t>
            </w:r>
            <w:proofErr w:type="gramEnd"/>
            <w:r>
              <w:rPr>
                <w:rFonts w:ascii="仿宋_GB2312" w:eastAsia="仿宋_GB2312" w:hAnsi="宋体" w:cs="仿宋_GB2312" w:hint="eastAsia"/>
                <w:color w:val="000000"/>
                <w:kern w:val="0"/>
                <w:sz w:val="28"/>
                <w:szCs w:val="28"/>
                <w:lang w:bidi="ar"/>
              </w:rPr>
              <w:t>。</w:t>
            </w:r>
          </w:p>
        </w:tc>
      </w:tr>
      <w:tr w:rsidR="00784720">
        <w:trPr>
          <w:trHeight w:val="938"/>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9</w:t>
            </w:r>
          </w:p>
        </w:tc>
        <w:tc>
          <w:tcPr>
            <w:tcW w:w="67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提高信用信息异议、行政处罚信用修复协同工作效率，在</w:t>
            </w:r>
            <w:r>
              <w:rPr>
                <w:rFonts w:ascii="仿宋_GB2312" w:eastAsia="仿宋_GB2312" w:hAnsi="宋体" w:cs="仿宋_GB2312" w:hint="eastAsia"/>
                <w:color w:val="000000"/>
                <w:kern w:val="0"/>
                <w:sz w:val="28"/>
                <w:szCs w:val="28"/>
                <w:lang w:bidi="ar"/>
              </w:rPr>
              <w:t>1</w:t>
            </w:r>
            <w:r>
              <w:rPr>
                <w:rFonts w:ascii="仿宋_GB2312" w:eastAsia="仿宋_GB2312" w:hAnsi="宋体" w:cs="仿宋_GB2312"/>
                <w:color w:val="000000"/>
                <w:kern w:val="0"/>
                <w:sz w:val="28"/>
                <w:szCs w:val="28"/>
                <w:lang w:bidi="ar"/>
              </w:rPr>
              <w:t>个工作日内规范、及时完成协同处理</w:t>
            </w:r>
            <w:r>
              <w:rPr>
                <w:rFonts w:ascii="仿宋_GB2312" w:eastAsia="仿宋_GB2312" w:hAnsi="宋体" w:cs="仿宋_GB2312" w:hint="eastAsia"/>
                <w:color w:val="000000"/>
                <w:kern w:val="0"/>
                <w:sz w:val="28"/>
                <w:szCs w:val="28"/>
                <w:lang w:bidi="ar"/>
              </w:rPr>
              <w:t>。</w:t>
            </w:r>
          </w:p>
        </w:tc>
        <w:tc>
          <w:tcPr>
            <w:tcW w:w="3012" w:type="dxa"/>
            <w:vMerge/>
          </w:tcPr>
          <w:p w:rsidR="00784720" w:rsidRDefault="00784720">
            <w:pPr>
              <w:widowControl/>
              <w:jc w:val="left"/>
              <w:rPr>
                <w:rFonts w:ascii="仿宋_GB2312" w:eastAsia="仿宋_GB2312" w:hAnsi="宋体" w:cs="仿宋_GB2312"/>
                <w:color w:val="000000"/>
                <w:kern w:val="0"/>
                <w:sz w:val="28"/>
                <w:szCs w:val="28"/>
                <w:lang w:bidi="ar"/>
              </w:rPr>
            </w:pP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10</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全面梳理本辖区内开展各项业务所形成的、包含“失</w:t>
            </w:r>
            <w:r>
              <w:rPr>
                <w:rFonts w:ascii="仿宋_GB2312" w:eastAsia="仿宋_GB2312" w:hAnsi="宋体" w:cs="仿宋_GB2312"/>
                <w:color w:val="000000"/>
                <w:kern w:val="0"/>
                <w:sz w:val="28"/>
                <w:szCs w:val="28"/>
                <w:lang w:bidi="ar"/>
              </w:rPr>
              <w:t>信</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黑名单</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联合惩戒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等关键词的各类新闻报道</w:t>
            </w:r>
            <w:r>
              <w:rPr>
                <w:rFonts w:ascii="仿宋_GB2312" w:eastAsia="仿宋_GB2312" w:hAnsi="宋体" w:cs="仿宋_GB2312" w:hint="eastAsia"/>
                <w:color w:val="000000"/>
                <w:kern w:val="0"/>
                <w:sz w:val="28"/>
                <w:szCs w:val="28"/>
                <w:lang w:bidi="ar"/>
              </w:rPr>
              <w:t>，违反</w:t>
            </w:r>
            <w:r>
              <w:rPr>
                <w:rFonts w:ascii="仿宋_GB2312" w:eastAsia="仿宋_GB2312" w:hAnsi="宋体" w:cs="仿宋_GB2312"/>
                <w:color w:val="000000"/>
                <w:kern w:val="0"/>
                <w:sz w:val="28"/>
                <w:szCs w:val="28"/>
                <w:lang w:bidi="ar"/>
              </w:rPr>
              <w:t>国办发〔2020〕49 号文精神的</w:t>
            </w:r>
            <w:r>
              <w:rPr>
                <w:rFonts w:ascii="仿宋_GB2312" w:eastAsia="仿宋_GB2312" w:hAnsi="宋体" w:cs="仿宋_GB2312" w:hint="eastAsia"/>
                <w:color w:val="000000"/>
                <w:kern w:val="0"/>
                <w:sz w:val="28"/>
                <w:szCs w:val="28"/>
                <w:lang w:bidi="ar"/>
              </w:rPr>
              <w:t>需进行清理。</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各区直部门</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提供相应的制度文件及</w:t>
            </w:r>
            <w:proofErr w:type="gramStart"/>
            <w:r>
              <w:rPr>
                <w:rFonts w:ascii="仿宋_GB2312" w:eastAsia="仿宋_GB2312" w:hAnsi="宋体" w:cs="仿宋_GB2312" w:hint="eastAsia"/>
                <w:color w:val="000000"/>
                <w:kern w:val="0"/>
                <w:sz w:val="28"/>
                <w:szCs w:val="28"/>
                <w:lang w:bidi="ar"/>
              </w:rPr>
              <w:t>清理台</w:t>
            </w:r>
            <w:proofErr w:type="gramEnd"/>
            <w:r>
              <w:rPr>
                <w:rFonts w:ascii="仿宋_GB2312" w:eastAsia="仿宋_GB2312" w:hAnsi="宋体" w:cs="仿宋_GB2312" w:hint="eastAsia"/>
                <w:color w:val="000000"/>
                <w:kern w:val="0"/>
                <w:sz w:val="28"/>
                <w:szCs w:val="28"/>
                <w:lang w:bidi="ar"/>
              </w:rPr>
              <w:t>账</w:t>
            </w:r>
          </w:p>
        </w:tc>
      </w:tr>
      <w:tr w:rsidR="00784720">
        <w:trPr>
          <w:trHeight w:val="3462"/>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11</w:t>
            </w:r>
          </w:p>
        </w:tc>
        <w:tc>
          <w:tcPr>
            <w:tcW w:w="6750"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 xml:space="preserve">积极贯彻落实信用分级分类监管办法， </w:t>
            </w:r>
            <w:r>
              <w:rPr>
                <w:rFonts w:ascii="仿宋_GB2312" w:eastAsia="仿宋_GB2312" w:hAnsi="宋体" w:cs="仿宋_GB2312"/>
                <w:color w:val="000000"/>
                <w:kern w:val="0"/>
                <w:sz w:val="28"/>
                <w:szCs w:val="28"/>
                <w:lang w:bidi="ar"/>
              </w:rPr>
              <w:t>上报</w:t>
            </w:r>
            <w:r>
              <w:rPr>
                <w:rFonts w:ascii="仿宋_GB2312" w:eastAsia="仿宋_GB2312" w:hAnsi="宋体" w:cs="仿宋_GB2312" w:hint="eastAsia"/>
                <w:color w:val="000000"/>
                <w:kern w:val="0"/>
                <w:sz w:val="28"/>
                <w:szCs w:val="28"/>
                <w:lang w:bidi="ar"/>
              </w:rPr>
              <w:t>典型</w:t>
            </w:r>
            <w:r>
              <w:rPr>
                <w:rFonts w:ascii="仿宋_GB2312" w:eastAsia="仿宋_GB2312" w:hAnsi="宋体" w:cs="仿宋_GB2312"/>
                <w:color w:val="000000"/>
                <w:kern w:val="0"/>
                <w:sz w:val="28"/>
                <w:szCs w:val="28"/>
                <w:lang w:bidi="ar"/>
              </w:rPr>
              <w:t>案例，所报案例应覆盖尽可能多的重点领域</w:t>
            </w:r>
            <w:r>
              <w:rPr>
                <w:rFonts w:ascii="仿宋_GB2312" w:eastAsia="仿宋_GB2312" w:hAnsi="宋体" w:cs="仿宋_GB2312" w:hint="eastAsia"/>
                <w:color w:val="000000"/>
                <w:kern w:val="0"/>
                <w:sz w:val="28"/>
                <w:szCs w:val="28"/>
                <w:lang w:bidi="ar"/>
              </w:rPr>
              <w:t>。（满足分级分类监管即可，可与信用无关，也可参照附件1《济南市企业信用分级分类监管办法（试行）》执行）</w:t>
            </w:r>
          </w:p>
        </w:tc>
        <w:tc>
          <w:tcPr>
            <w:tcW w:w="3012" w:type="dxa"/>
          </w:tcPr>
          <w:p w:rsidR="00784720" w:rsidRDefault="00375CA6">
            <w:pPr>
              <w:widowControl/>
              <w:spacing w:line="480" w:lineRule="exact"/>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区司法局、区发改局、区工信局、区商务局、区市场监管局、区应急管理局、区住建局、区城管局、生态环境历下分局、区文旅局、区卫健局、区税务局</w:t>
            </w:r>
          </w:p>
        </w:tc>
        <w:tc>
          <w:tcPr>
            <w:tcW w:w="1763" w:type="dxa"/>
            <w:vAlign w:val="center"/>
          </w:tcPr>
          <w:p w:rsidR="00784720" w:rsidRDefault="00375CA6">
            <w:pPr>
              <w:widowControl/>
              <w:spacing w:line="480" w:lineRule="exact"/>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第一轮6月4日前，第二轮6月12日前，第三轮6月20日前</w:t>
            </w:r>
          </w:p>
        </w:tc>
        <w:tc>
          <w:tcPr>
            <w:tcW w:w="2450" w:type="dxa"/>
            <w:vAlign w:val="center"/>
          </w:tcPr>
          <w:p w:rsidR="00784720" w:rsidRDefault="00375CA6">
            <w:pPr>
              <w:widowControl/>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按照模板（见附件4）上报典型案例，每单位不少于2条。</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12</w:t>
            </w:r>
          </w:p>
        </w:tc>
        <w:tc>
          <w:tcPr>
            <w:tcW w:w="6750"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开展“诚信建设万里行，百城万企亮信用”宣传活</w:t>
            </w:r>
            <w:r>
              <w:rPr>
                <w:rFonts w:ascii="仿宋_GB2312" w:eastAsia="仿宋_GB2312" w:hAnsi="宋体" w:cs="仿宋_GB2312"/>
                <w:color w:val="000000"/>
                <w:kern w:val="0"/>
                <w:sz w:val="28"/>
                <w:szCs w:val="28"/>
                <w:lang w:bidi="ar"/>
              </w:rPr>
              <w:t>动</w:t>
            </w:r>
            <w:r>
              <w:rPr>
                <w:rFonts w:ascii="仿宋_GB2312" w:eastAsia="仿宋_GB2312" w:hAnsi="宋体" w:cs="仿宋_GB2312" w:hint="eastAsia"/>
                <w:color w:val="000000"/>
                <w:kern w:val="0"/>
                <w:sz w:val="28"/>
                <w:szCs w:val="28"/>
                <w:lang w:bidi="ar"/>
              </w:rPr>
              <w:t>。</w:t>
            </w:r>
          </w:p>
        </w:tc>
        <w:tc>
          <w:tcPr>
            <w:tcW w:w="3012"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区发改局牵头、区商务局、区工信局、区市场监管局等部门配合</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企业材料清单（见附件5）</w:t>
            </w:r>
          </w:p>
        </w:tc>
      </w:tr>
      <w:tr w:rsidR="00784720">
        <w:trPr>
          <w:trHeight w:val="2515"/>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13</w:t>
            </w:r>
          </w:p>
        </w:tc>
        <w:tc>
          <w:tcPr>
            <w:tcW w:w="6750" w:type="dxa"/>
            <w:vAlign w:val="center"/>
          </w:tcPr>
          <w:p w:rsidR="00784720" w:rsidRDefault="00375CA6" w:rsidP="006F5EFD">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梳理汇总</w:t>
            </w:r>
            <w:r>
              <w:rPr>
                <w:rFonts w:ascii="仿宋_GB2312" w:eastAsia="仿宋_GB2312" w:hAnsi="宋体" w:cs="仿宋_GB2312"/>
                <w:color w:val="000000"/>
                <w:kern w:val="0"/>
                <w:sz w:val="28"/>
                <w:szCs w:val="28"/>
                <w:lang w:bidi="ar"/>
              </w:rPr>
              <w:t>2018年</w:t>
            </w:r>
            <w:r w:rsidR="006F5EFD">
              <w:rPr>
                <w:rFonts w:ascii="仿宋_GB2312" w:eastAsia="仿宋_GB2312" w:hAnsi="宋体" w:cs="仿宋_GB2312"/>
                <w:color w:val="000000"/>
                <w:kern w:val="0"/>
                <w:sz w:val="28"/>
                <w:szCs w:val="28"/>
                <w:lang w:bidi="ar"/>
              </w:rPr>
              <w:t>6</w:t>
            </w:r>
            <w:r>
              <w:rPr>
                <w:rFonts w:ascii="仿宋_GB2312" w:eastAsia="仿宋_GB2312" w:hAnsi="宋体" w:cs="仿宋_GB2312"/>
                <w:color w:val="000000"/>
                <w:kern w:val="0"/>
                <w:sz w:val="28"/>
                <w:szCs w:val="28"/>
                <w:lang w:bidi="ar"/>
              </w:rPr>
              <w:t>月以来，本区县开展的各类诚信宣传及诚信典型评选活动</w:t>
            </w:r>
            <w:r>
              <w:rPr>
                <w:rFonts w:ascii="仿宋_GB2312" w:eastAsia="仿宋_GB2312" w:hAnsi="宋体" w:cs="仿宋_GB2312" w:hint="eastAsia"/>
                <w:color w:val="000000"/>
                <w:kern w:val="0"/>
                <w:sz w:val="28"/>
                <w:szCs w:val="28"/>
                <w:lang w:bidi="ar"/>
              </w:rPr>
              <w:t>。（安全、质量、法制、营商环境相关均可）</w:t>
            </w:r>
          </w:p>
        </w:tc>
        <w:tc>
          <w:tcPr>
            <w:tcW w:w="3012"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区发改局、区文明办、区商务局、区市场监管局等各区直部门</w:t>
            </w:r>
          </w:p>
        </w:tc>
        <w:tc>
          <w:tcPr>
            <w:tcW w:w="1763" w:type="dxa"/>
            <w:vAlign w:val="center"/>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第一轮6月4日前，第二轮6月12日前，第三轮6月20日前</w:t>
            </w:r>
          </w:p>
        </w:tc>
        <w:tc>
          <w:tcPr>
            <w:tcW w:w="24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按照宣传材料要求（见附件6）报送，每单位不少于2篇。</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14</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按照《关于印发&lt;山东省政府机关及公务员信用信息</w:t>
            </w:r>
            <w:r>
              <w:rPr>
                <w:rFonts w:ascii="仿宋_GB2312" w:eastAsia="仿宋_GB2312" w:hAnsi="宋体" w:cs="仿宋_GB2312"/>
                <w:color w:val="000000"/>
                <w:kern w:val="0"/>
                <w:sz w:val="28"/>
                <w:szCs w:val="28"/>
                <w:lang w:bidi="ar"/>
              </w:rPr>
              <w:t>归集应用管理办法&gt;的通知》（</w:t>
            </w:r>
            <w:proofErr w:type="gramStart"/>
            <w:r>
              <w:rPr>
                <w:rFonts w:ascii="仿宋_GB2312" w:eastAsia="仿宋_GB2312" w:hAnsi="宋体" w:cs="仿宋_GB2312"/>
                <w:color w:val="000000"/>
                <w:kern w:val="0"/>
                <w:sz w:val="28"/>
                <w:szCs w:val="28"/>
                <w:lang w:bidi="ar"/>
              </w:rPr>
              <w:t>鲁发展</w:t>
            </w:r>
            <w:proofErr w:type="gramEnd"/>
            <w:r>
              <w:rPr>
                <w:rFonts w:ascii="仿宋_GB2312" w:eastAsia="仿宋_GB2312" w:hAnsi="宋体" w:cs="仿宋_GB2312"/>
                <w:color w:val="000000"/>
                <w:kern w:val="0"/>
                <w:sz w:val="28"/>
                <w:szCs w:val="28"/>
                <w:lang w:bidi="ar"/>
              </w:rPr>
              <w:t>改革信用〔2020〕907号）文件要求，全面归集辖区内各级党政机关及公务员信用信息</w:t>
            </w:r>
            <w:r>
              <w:rPr>
                <w:rFonts w:ascii="仿宋_GB2312" w:eastAsia="仿宋_GB2312" w:hAnsi="宋体" w:cs="仿宋_GB2312" w:hint="eastAsia"/>
                <w:color w:val="000000"/>
                <w:kern w:val="0"/>
                <w:sz w:val="28"/>
                <w:szCs w:val="28"/>
                <w:lang w:bidi="ar"/>
              </w:rPr>
              <w:t>。</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区发改局、区委组织部</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6月23日前</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15</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在干部考核、任用、奖惩等工作中查询应用公务员信用记录和诚信档案，并作为重要参考。</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区委组织部</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6月23日前</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16</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不得对信用评级机构进行行政干预，确保信用评级独立性。</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3175</wp:posOffset>
                      </wp:positionV>
                      <wp:extent cx="1532255" cy="603885"/>
                      <wp:effectExtent l="1905" t="4445" r="8890" b="20320"/>
                      <wp:wrapNone/>
                      <wp:docPr id="6" name="直接连接符 6"/>
                      <wp:cNvGraphicFramePr/>
                      <a:graphic xmlns:a="http://schemas.openxmlformats.org/drawingml/2006/main">
                        <a:graphicData uri="http://schemas.microsoft.com/office/word/2010/wordprocessingShape">
                          <wps:wsp>
                            <wps:cNvCnPr/>
                            <wps:spPr>
                              <a:xfrm>
                                <a:off x="8477250" y="3534410"/>
                                <a:ext cx="1532255" cy="603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5pt;margin-top:0.25pt;height:47.55pt;width:120.65pt;z-index:251664384;mso-width-relative:page;mso-height-relative:page;" filled="f" stroked="t" coordsize="21600,21600" o:gfxdata="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Mh5B1QAAAAYBAAAPAAAAAAAAAAEAIAAAACIAAABkcnMvZG93bnJldi54bWxQSwECFAAU&#10;AAAACACHTuJAwia+JPQBAADCAwAADgAAAAAAAAABACAAAAAkAQAAZHJzL2Uyb0RvYy54bWxQSwUG&#10;AAAAAAYABgBZAQAAigUAAAAA&#10;">
                      <v:fill on="f" focussize="0,0"/>
                      <v:stroke weight="0.5pt" color="#000000 [3200]" miterlimit="8" joinstyle="miter"/>
                      <v:imagedata o:title=""/>
                      <o:lock v:ext="edit" aspectratio="f"/>
                    </v:line>
                  </w:pict>
                </mc:Fallback>
              </mc:AlternateContent>
            </w:r>
          </w:p>
        </w:tc>
      </w:tr>
      <w:tr w:rsidR="00784720">
        <w:trPr>
          <w:trHeight w:val="1113"/>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17</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noProof/>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0</wp:posOffset>
                      </wp:positionV>
                      <wp:extent cx="1920240" cy="705485"/>
                      <wp:effectExtent l="1905" t="4445" r="1905" b="13970"/>
                      <wp:wrapNone/>
                      <wp:docPr id="3" name="直接连接符 3"/>
                      <wp:cNvGraphicFramePr/>
                      <a:graphic xmlns:a="http://schemas.openxmlformats.org/drawingml/2006/main">
                        <a:graphicData uri="http://schemas.microsoft.com/office/word/2010/wordprocessingShape">
                          <wps:wsp>
                            <wps:cNvCnPr/>
                            <wps:spPr>
                              <a:xfrm>
                                <a:off x="5429250" y="4345305"/>
                                <a:ext cx="1920240" cy="705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31.5pt;margin-top:0pt;height:55.55pt;width:151.2pt;z-index:251661312;mso-width-relative:page;mso-height-relative:page;" filled="f" stroked="t" coordsize="21600,21600" o:gfxdata="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GwZjXAAAACAEAAA8AAAAAAAAAAQAgAAAAIgAAAGRycy9kb3ducmV2LnhtbFBLAQIU&#10;ABQAAAAIAIdO4kCkHa0X9AEAAMIDAAAOAAAAAAAAAAEAIAAAACYBAABkcnMvZTJvRG9jLnhtbFBL&#10;BQYAAAAABgAGAFkBAACMBQAAAAA=&#10;">
                      <v:fill on="f" focussize="0,0"/>
                      <v:stroke weight="0.5pt" color="#000000 [3200]" miterlimit="8" joinstyle="miter"/>
                      <v:imagedata o:title=""/>
                      <o:lock v:ext="edit" aspectratio="f"/>
                    </v:line>
                  </w:pict>
                </mc:Fallback>
              </mc:AlternateContent>
            </w:r>
            <w:r>
              <w:rPr>
                <w:rFonts w:ascii="仿宋_GB2312" w:eastAsia="仿宋_GB2312" w:hAnsi="宋体" w:cs="仿宋_GB2312" w:hint="eastAsia"/>
                <w:color w:val="000000"/>
                <w:kern w:val="0"/>
                <w:sz w:val="28"/>
                <w:szCs w:val="28"/>
                <w:lang w:bidi="ar"/>
              </w:rPr>
              <w:t>协助开展本辖区内农户、新型农业经营主体信用信息归集工作。</w:t>
            </w:r>
          </w:p>
        </w:tc>
        <w:tc>
          <w:tcPr>
            <w:tcW w:w="3012" w:type="dxa"/>
            <w:vAlign w:val="center"/>
          </w:tcPr>
          <w:p w:rsidR="00784720" w:rsidRDefault="00784720">
            <w:pPr>
              <w:widowControl/>
              <w:jc w:val="center"/>
              <w:rPr>
                <w:rFonts w:ascii="仿宋_GB2312" w:eastAsia="仿宋_GB2312" w:hAnsi="宋体" w:cs="仿宋_GB2312"/>
                <w:color w:val="000000"/>
                <w:kern w:val="0"/>
                <w:sz w:val="28"/>
                <w:szCs w:val="28"/>
                <w:lang w:bidi="ar"/>
              </w:rPr>
            </w:pP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22860</wp:posOffset>
                      </wp:positionV>
                      <wp:extent cx="1103630" cy="675005"/>
                      <wp:effectExtent l="2540" t="3810" r="17780" b="6985"/>
                      <wp:wrapNone/>
                      <wp:docPr id="4" name="直接连接符 4"/>
                      <wp:cNvGraphicFramePr/>
                      <a:graphic xmlns:a="http://schemas.openxmlformats.org/drawingml/2006/main">
                        <a:graphicData uri="http://schemas.microsoft.com/office/word/2010/wordprocessingShape">
                          <wps:wsp>
                            <wps:cNvCnPr/>
                            <wps:spPr>
                              <a:xfrm>
                                <a:off x="7350125" y="4345305"/>
                                <a:ext cx="1103630" cy="675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5pt;margin-top:1.8pt;height:53.15pt;width:86.9pt;z-index:251662336;mso-width-relative:page;mso-height-relative:page;" filled="f" stroked="t" coordsize="21600,21600" o:gfxdata="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KHkutcAAAAIAQAADwAAAAAAAAABACAAAAAiAAAAZHJzL2Rvd25yZXYueG1sUEsBAhQA&#10;FAAAAAgAh07iQLYbACHzAQAAwgMAAA4AAAAAAAAAAQAgAAAAJgEAAGRycy9lMm9Eb2MueG1sUEsF&#10;BgAAAAAGAAYAWQEAAIsFAAAAAA==&#10;">
                      <v:fill on="f" focussize="0,0"/>
                      <v:stroke weight="0.5pt" color="#000000 [3200]" miterlimit="8" joinstyle="miter"/>
                      <v:imagedata o:title=""/>
                      <o:lock v:ext="edit" aspectratio="f"/>
                    </v:line>
                  </w:pict>
                </mc:Fallback>
              </mc:AlternateConten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15240</wp:posOffset>
                      </wp:positionV>
                      <wp:extent cx="1539875" cy="698500"/>
                      <wp:effectExtent l="1905" t="4445" r="20320" b="20955"/>
                      <wp:wrapNone/>
                      <wp:docPr id="5" name="直接连接符 5"/>
                      <wp:cNvGraphicFramePr/>
                      <a:graphic xmlns:a="http://schemas.openxmlformats.org/drawingml/2006/main">
                        <a:graphicData uri="http://schemas.microsoft.com/office/word/2010/wordprocessingShape">
                          <wps:wsp>
                            <wps:cNvCnPr/>
                            <wps:spPr>
                              <a:xfrm>
                                <a:off x="8469630" y="4345305"/>
                                <a:ext cx="1539875" cy="698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5pt;margin-top:1.2pt;height:55pt;width:121.25pt;z-index:251663360;mso-width-relative:page;mso-height-relative:page;" filled="f" stroked="t" coordsize="21600,21600" o:gfxdata="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gLvO1gAAAAgBAAAPAAAAAAAAAAEAIAAAACIAAABkcnMvZG93bnJldi54bWxQSwEC&#10;FAAUAAAACACHTuJAnEIXRvYBAADCAwAADgAAAAAAAAABACAAAAAlAQAAZHJzL2Uyb0RvYy54bWxQ&#10;SwUGAAAAAAYABgBZAQAAjQUAAAAA&#10;">
                      <v:fill on="f" focussize="0,0"/>
                      <v:stroke weight="0.5pt" color="#000000 [3200]" miterlimit="8" joinstyle="miter"/>
                      <v:imagedata o:title=""/>
                      <o:lock v:ext="edit" aspectratio="f"/>
                    </v:line>
                  </w:pict>
                </mc:Fallback>
              </mc:AlternateContent>
            </w:r>
          </w:p>
        </w:tc>
      </w:tr>
      <w:tr w:rsidR="00784720">
        <w:trPr>
          <w:trHeight w:val="1088"/>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18</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加强重大金融风险防范，确保辖区内不发生重大区域性金融风险。</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区地方金融监管局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6月25日前</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20955</wp:posOffset>
                      </wp:positionV>
                      <wp:extent cx="1548130" cy="781050"/>
                      <wp:effectExtent l="1905" t="4445" r="12065" b="14605"/>
                      <wp:wrapNone/>
                      <wp:docPr id="7" name="直接连接符 7"/>
                      <wp:cNvGraphicFramePr/>
                      <a:graphic xmlns:a="http://schemas.openxmlformats.org/drawingml/2006/main">
                        <a:graphicData uri="http://schemas.microsoft.com/office/word/2010/wordprocessingShape">
                          <wps:wsp>
                            <wps:cNvCnPr/>
                            <wps:spPr>
                              <a:xfrm>
                                <a:off x="8469630" y="5127625"/>
                                <a:ext cx="154813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8pt;margin-top:1.65pt;height:61.5pt;width:121.9pt;z-index:251665408;mso-width-relative:page;mso-height-relative:page;" filled="f" stroked="t" coordsize="21600,21600" o:gfxdata="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gfSKdcAAAAIAQAADwAAAAAAAAABACAAAAAiAAAAZHJzL2Rvd25yZXYueG1sUEsB&#10;AhQAFAAAAAgAh07iQDZr3bz2AQAAwgMAAA4AAAAAAAAAAQAgAAAAJgEAAGRycy9lMm9Eb2MueG1s&#10;UEsFBgAAAAAGAAYAWQEAAI4FAAAAAA==&#10;">
                      <v:fill on="f" focussize="0,0"/>
                      <v:stroke weight="0.5pt" color="#000000 [3200]" miterlimit="8" joinstyle="miter"/>
                      <v:imagedata o:title=""/>
                      <o:lock v:ext="edit" aspectratio="f"/>
                    </v:line>
                  </w:pict>
                </mc:Fallback>
              </mc:AlternateContent>
            </w:r>
          </w:p>
        </w:tc>
      </w:tr>
      <w:tr w:rsidR="00784720">
        <w:trPr>
          <w:trHeight w:val="1088"/>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19</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积极上报信用相关新闻稿件至“信用中国（山东济南）”网站的“诚信建设万里行”等宣传栏目。</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20</w:t>
            </w:r>
          </w:p>
        </w:tc>
        <w:tc>
          <w:tcPr>
            <w:tcW w:w="6750"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在依法依规获得市场主体授权前提下，归集整合企业仓储物流（快递信息）数据，推送至全国信用信息共享平台（山东济南）。</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区工信局</w:t>
            </w:r>
          </w:p>
        </w:tc>
        <w:tc>
          <w:tcPr>
            <w:tcW w:w="1763" w:type="dxa"/>
            <w:vAlign w:val="center"/>
          </w:tcPr>
          <w:p w:rsidR="00784720" w:rsidRDefault="00375CA6">
            <w:pPr>
              <w:widowControl/>
              <w:spacing w:line="44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第一轮6月4日前，第二轮6月12日前，第三轮6月20日前</w:t>
            </w:r>
          </w:p>
        </w:tc>
        <w:tc>
          <w:tcPr>
            <w:tcW w:w="24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填写仓储物流模板（见附件7）推送至平台，不少于200条。</w:t>
            </w:r>
          </w:p>
        </w:tc>
      </w:tr>
      <w:tr w:rsidR="00784720">
        <w:trPr>
          <w:trHeight w:val="1313"/>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21</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辖区内政府出资产业投资基金在全国政府出资产业投资基金信用信息登记系统全量进行信用信息登记。</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系统判定</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22</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积极推广全国“信易贷”平台，每个区县至少应召开2 场“信易贷”专场推介会。</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区发改局、区工信局、区金融事业发展中心</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报送活动方案及宣传报道链接</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23</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落实“信易贷”名单月度推荐机制，按月报送《“信易贷”推荐企业名单》，确保推荐企业名单内获贷企业比例在 20%以上。</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区发改局、区工信局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按比例推荐企业名单，</w:t>
            </w:r>
            <w:proofErr w:type="gramStart"/>
            <w:r>
              <w:rPr>
                <w:rFonts w:ascii="仿宋_GB2312" w:eastAsia="仿宋_GB2312" w:hAnsi="宋体" w:cs="仿宋_GB2312" w:hint="eastAsia"/>
                <w:color w:val="000000"/>
                <w:kern w:val="0"/>
                <w:sz w:val="28"/>
                <w:szCs w:val="28"/>
                <w:lang w:bidi="ar"/>
              </w:rPr>
              <w:t>报送台</w:t>
            </w:r>
            <w:proofErr w:type="gramEnd"/>
            <w:r>
              <w:rPr>
                <w:rFonts w:ascii="仿宋_GB2312" w:eastAsia="仿宋_GB2312" w:hAnsi="宋体" w:cs="仿宋_GB2312" w:hint="eastAsia"/>
                <w:color w:val="000000"/>
                <w:kern w:val="0"/>
                <w:sz w:val="28"/>
                <w:szCs w:val="28"/>
                <w:lang w:bidi="ar"/>
              </w:rPr>
              <w:t>账（见附件8）</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24</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梳理金融支持中小</w:t>
            </w:r>
            <w:proofErr w:type="gramStart"/>
            <w:r>
              <w:rPr>
                <w:rFonts w:ascii="仿宋_GB2312" w:eastAsia="仿宋_GB2312" w:hAnsi="宋体" w:cs="仿宋_GB2312" w:hint="eastAsia"/>
                <w:color w:val="000000"/>
                <w:kern w:val="0"/>
                <w:sz w:val="28"/>
                <w:szCs w:val="28"/>
                <w:lang w:bidi="ar"/>
              </w:rPr>
              <w:t>微企业</w:t>
            </w:r>
            <w:proofErr w:type="gramEnd"/>
            <w:r>
              <w:rPr>
                <w:rFonts w:ascii="仿宋_GB2312" w:eastAsia="仿宋_GB2312" w:hAnsi="宋体" w:cs="仿宋_GB2312" w:hint="eastAsia"/>
                <w:color w:val="000000"/>
                <w:kern w:val="0"/>
                <w:sz w:val="28"/>
                <w:szCs w:val="28"/>
                <w:lang w:bidi="ar"/>
              </w:rPr>
              <w:t>融资风险缓释、财政贴息、信用担保等相关政策，形成政策汇编。</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区金融事业发展中心</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上报电子版材料</w:t>
            </w:r>
          </w:p>
        </w:tc>
      </w:tr>
      <w:tr w:rsidR="00784720">
        <w:trPr>
          <w:trHeight w:val="2035"/>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25</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通过全国“信易贷”平台体系发放的贷款规模达到本辖区内全部企业信用贷款规模的 6%以上。辖区内企业信用贷款规模占全部企业贷款规模的比例应达到 30%以上。</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区金融事业发展中心</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上报具体规模和占比等数据</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26</w:t>
            </w:r>
          </w:p>
        </w:tc>
        <w:tc>
          <w:tcPr>
            <w:tcW w:w="67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按照上级部门工作部署，依托全国中小</w:t>
            </w:r>
            <w:proofErr w:type="gramStart"/>
            <w:r>
              <w:rPr>
                <w:rFonts w:ascii="仿宋_GB2312" w:eastAsia="仿宋_GB2312" w:hAnsi="宋体" w:cs="仿宋_GB2312" w:hint="eastAsia"/>
                <w:color w:val="000000"/>
                <w:kern w:val="0"/>
                <w:sz w:val="28"/>
                <w:szCs w:val="28"/>
                <w:lang w:bidi="ar"/>
              </w:rPr>
              <w:t>微企业</w:t>
            </w:r>
            <w:proofErr w:type="gramEnd"/>
            <w:r>
              <w:rPr>
                <w:rFonts w:ascii="仿宋_GB2312" w:eastAsia="仿宋_GB2312" w:hAnsi="宋体" w:cs="仿宋_GB2312" w:hint="eastAsia"/>
                <w:color w:val="000000"/>
                <w:kern w:val="0"/>
                <w:sz w:val="28"/>
                <w:szCs w:val="28"/>
                <w:lang w:bidi="ar"/>
              </w:rPr>
              <w:t>融资监测平台，按要求选定监测主体并按时填报调查问卷。</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区工信局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6月15日前</w:t>
            </w:r>
          </w:p>
        </w:tc>
        <w:tc>
          <w:tcPr>
            <w:tcW w:w="24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有效问卷回收数量应必须达到 50份以上。（企业操作手册见附件9）</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27</w:t>
            </w:r>
          </w:p>
        </w:tc>
        <w:tc>
          <w:tcPr>
            <w:tcW w:w="6750"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kern w:val="0"/>
                <w:sz w:val="28"/>
                <w:szCs w:val="28"/>
                <w:lang w:bidi="ar"/>
              </w:rPr>
              <w:t>归集市场主体做出的信用承诺。（只要是承诺书均可，可无信用两字）</w:t>
            </w:r>
          </w:p>
        </w:tc>
        <w:tc>
          <w:tcPr>
            <w:tcW w:w="3012" w:type="dxa"/>
            <w:vAlign w:val="center"/>
          </w:tcPr>
          <w:p w:rsidR="00784720" w:rsidRDefault="00375CA6">
            <w:pPr>
              <w:widowControl/>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区发改局、区商务局、区市场监管局、区卫健局等各有关区直部门</w:t>
            </w:r>
          </w:p>
        </w:tc>
        <w:tc>
          <w:tcPr>
            <w:tcW w:w="1763" w:type="dxa"/>
            <w:vAlign w:val="center"/>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第一轮6月10日前，第二轮6月20日前</w:t>
            </w:r>
          </w:p>
        </w:tc>
        <w:tc>
          <w:tcPr>
            <w:tcW w:w="24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将承诺书</w:t>
            </w:r>
            <w:proofErr w:type="spellStart"/>
            <w:r>
              <w:rPr>
                <w:rFonts w:ascii="仿宋_GB2312" w:eastAsia="仿宋_GB2312" w:hAnsi="宋体" w:cs="仿宋_GB2312" w:hint="eastAsia"/>
                <w:color w:val="000000"/>
                <w:kern w:val="0"/>
                <w:sz w:val="28"/>
                <w:szCs w:val="28"/>
                <w:lang w:bidi="ar"/>
              </w:rPr>
              <w:t>pdf</w:t>
            </w:r>
            <w:proofErr w:type="spellEnd"/>
            <w:r>
              <w:rPr>
                <w:rFonts w:ascii="仿宋_GB2312" w:eastAsia="仿宋_GB2312" w:hAnsi="宋体" w:cs="仿宋_GB2312" w:hint="eastAsia"/>
                <w:color w:val="000000"/>
                <w:kern w:val="0"/>
                <w:sz w:val="28"/>
                <w:szCs w:val="28"/>
                <w:lang w:bidi="ar"/>
              </w:rPr>
              <w:t>汇总上报至区发改局。</w:t>
            </w:r>
          </w:p>
        </w:tc>
      </w:tr>
      <w:tr w:rsidR="00784720">
        <w:trPr>
          <w:trHeight w:val="2148"/>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28</w:t>
            </w:r>
          </w:p>
        </w:tc>
        <w:tc>
          <w:tcPr>
            <w:tcW w:w="6750" w:type="dxa"/>
            <w:vAlign w:val="center"/>
          </w:tcPr>
          <w:p w:rsidR="00784720" w:rsidRDefault="00375CA6">
            <w:pPr>
              <w:widowControl/>
              <w:spacing w:line="480" w:lineRule="exac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在招标投标、政府采购、政府性资金项目安排、国有土地出让、评先评优、融资授信等领域，将查询使用信用信息嵌入办理流程，依法依规建立守信联合激励和失信联合惩戒机制。</w:t>
            </w:r>
          </w:p>
        </w:tc>
        <w:tc>
          <w:tcPr>
            <w:tcW w:w="3012" w:type="dxa"/>
            <w:vAlign w:val="center"/>
          </w:tcPr>
          <w:p w:rsidR="00784720" w:rsidRDefault="00375CA6">
            <w:pPr>
              <w:widowControl/>
              <w:jc w:val="center"/>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各区直部门</w:t>
            </w:r>
          </w:p>
        </w:tc>
        <w:tc>
          <w:tcPr>
            <w:tcW w:w="1763" w:type="dxa"/>
            <w:vAlign w:val="center"/>
          </w:tcPr>
          <w:p w:rsidR="00784720" w:rsidRDefault="00375CA6">
            <w:pPr>
              <w:widowControl/>
              <w:jc w:val="center"/>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按照模板（见附件10）上报典型案例。</w:t>
            </w:r>
          </w:p>
        </w:tc>
      </w:tr>
      <w:tr w:rsidR="00784720">
        <w:trPr>
          <w:trHeight w:val="1705"/>
        </w:trPr>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29</w:t>
            </w:r>
          </w:p>
        </w:tc>
        <w:tc>
          <w:tcPr>
            <w:tcW w:w="67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按照国家发展改革委印发的</w:t>
            </w:r>
            <w:proofErr w:type="gramStart"/>
            <w:r>
              <w:rPr>
                <w:rFonts w:ascii="仿宋_GB2312" w:eastAsia="仿宋_GB2312" w:hAnsi="宋体" w:cs="仿宋_GB2312" w:hint="eastAsia"/>
                <w:color w:val="000000"/>
                <w:kern w:val="0"/>
                <w:sz w:val="28"/>
                <w:szCs w:val="28"/>
                <w:lang w:bidi="ar"/>
              </w:rPr>
              <w:t>《</w:t>
            </w:r>
            <w:proofErr w:type="gramEnd"/>
            <w:r>
              <w:rPr>
                <w:rFonts w:ascii="仿宋_GB2312" w:eastAsia="仿宋_GB2312" w:hAnsi="宋体" w:cs="仿宋_GB2312" w:hint="eastAsia"/>
                <w:color w:val="000000"/>
                <w:kern w:val="0"/>
                <w:sz w:val="28"/>
                <w:szCs w:val="28"/>
                <w:lang w:bidi="ar"/>
              </w:rPr>
              <w:t>“屡禁不止、屡罚不改”</w:t>
            </w:r>
          </w:p>
          <w:p w:rsidR="00784720" w:rsidRDefault="00375CA6">
            <w:pPr>
              <w:widowControl/>
              <w:spacing w:line="480" w:lineRule="exac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严重违法失信行为专项治理方案</w:t>
            </w:r>
            <w:proofErr w:type="gramStart"/>
            <w:r>
              <w:rPr>
                <w:rFonts w:ascii="仿宋_GB2312" w:eastAsia="仿宋_GB2312" w:hAnsi="宋体" w:cs="仿宋_GB2312" w:hint="eastAsia"/>
                <w:color w:val="000000"/>
                <w:kern w:val="0"/>
                <w:sz w:val="28"/>
                <w:szCs w:val="28"/>
                <w:lang w:bidi="ar"/>
              </w:rPr>
              <w:t>》</w:t>
            </w:r>
            <w:proofErr w:type="gramEnd"/>
            <w:r>
              <w:rPr>
                <w:rFonts w:ascii="仿宋_GB2312" w:eastAsia="仿宋_GB2312" w:hAnsi="宋体" w:cs="仿宋_GB2312" w:hint="eastAsia"/>
                <w:color w:val="000000"/>
                <w:kern w:val="0"/>
                <w:sz w:val="28"/>
                <w:szCs w:val="28"/>
                <w:lang w:bidi="ar"/>
              </w:rPr>
              <w:t>要求，相关治理对象退出率应力争达到 100%。</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proofErr w:type="gramStart"/>
            <w:r>
              <w:rPr>
                <w:rFonts w:ascii="仿宋_GB2312" w:eastAsia="仿宋_GB2312" w:hAnsi="宋体" w:cs="仿宋_GB2312" w:hint="eastAsia"/>
                <w:color w:val="000000"/>
                <w:kern w:val="0"/>
                <w:sz w:val="28"/>
                <w:szCs w:val="28"/>
                <w:lang w:bidi="ar"/>
              </w:rPr>
              <w:t>清理台</w:t>
            </w:r>
            <w:proofErr w:type="gramEnd"/>
            <w:r>
              <w:rPr>
                <w:rFonts w:ascii="仿宋_GB2312" w:eastAsia="仿宋_GB2312" w:hAnsi="宋体" w:cs="仿宋_GB2312" w:hint="eastAsia"/>
                <w:color w:val="000000"/>
                <w:kern w:val="0"/>
                <w:sz w:val="28"/>
                <w:szCs w:val="28"/>
                <w:lang w:bidi="ar"/>
              </w:rPr>
              <w:t>账</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30</w:t>
            </w:r>
          </w:p>
        </w:tc>
        <w:tc>
          <w:tcPr>
            <w:tcW w:w="6750" w:type="dxa"/>
          </w:tcPr>
          <w:p w:rsidR="00784720" w:rsidRDefault="00375CA6">
            <w:pPr>
              <w:widowControl/>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各区县应明确示范创建工作任务分工和进度要求，各区县财政应为社会信用体系建设提供专项经费保障。</w:t>
            </w:r>
          </w:p>
        </w:tc>
        <w:tc>
          <w:tcPr>
            <w:tcW w:w="3012" w:type="dxa"/>
            <w:vAlign w:val="center"/>
          </w:tcPr>
          <w:p w:rsidR="00784720" w:rsidRDefault="00375CA6">
            <w:pPr>
              <w:widowControl/>
              <w:jc w:val="center"/>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区发改局</w:t>
            </w:r>
          </w:p>
        </w:tc>
        <w:tc>
          <w:tcPr>
            <w:tcW w:w="1763" w:type="dxa"/>
            <w:vAlign w:val="center"/>
          </w:tcPr>
          <w:p w:rsidR="00784720" w:rsidRDefault="00375CA6">
            <w:pPr>
              <w:widowControl/>
              <w:jc w:val="center"/>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rFonts w:ascii="仿宋_GB2312" w:eastAsia="仿宋_GB2312" w:hAnsi="宋体" w:cs="仿宋_GB2312"/>
                <w:i/>
                <w:iCs/>
                <w:color w:val="000000"/>
                <w:kern w:val="0"/>
                <w:sz w:val="28"/>
                <w:szCs w:val="28"/>
                <w:lang w:bidi="ar"/>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11430</wp:posOffset>
                      </wp:positionV>
                      <wp:extent cx="1547495" cy="793750"/>
                      <wp:effectExtent l="1905" t="4445" r="12700" b="20955"/>
                      <wp:wrapNone/>
                      <wp:docPr id="9" name="直接连接符 9"/>
                      <wp:cNvGraphicFramePr/>
                      <a:graphic xmlns:a="http://schemas.openxmlformats.org/drawingml/2006/main">
                        <a:graphicData uri="http://schemas.microsoft.com/office/word/2010/wordprocessingShape">
                          <wps:wsp>
                            <wps:cNvCnPr/>
                            <wps:spPr>
                              <a:xfrm>
                                <a:off x="8469630" y="1152525"/>
                                <a:ext cx="1547495" cy="79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5pt;margin-top:0.9pt;height:62.5pt;width:121.85pt;z-index:251666432;mso-width-relative:page;mso-height-relative:page;" filled="f" stroked="t" coordsize="21600,21600" o:gfxdata="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VJ4LWAAAACAEAAA8AAAAAAAAAAQAgAAAAIgAAAGRycy9kb3ducmV2LnhtbFBLAQIU&#10;ABQAAAAIAIdO4kDUvKkY9QEAAMIDAAAOAAAAAAAAAAEAIAAAACUBAABkcnMvZTJvRG9jLnhtbFBL&#10;BQYAAAAABgAGAFkBAACMBQAAAAA=&#10;">
                      <v:fill on="f" focussize="0,0"/>
                      <v:stroke weight="0.5pt" color="#000000 [3200]" miterlimit="8" joinstyle="miter"/>
                      <v:imagedata o:title=""/>
                      <o:lock v:ext="edit" aspectratio="f"/>
                    </v:line>
                  </w:pict>
                </mc:Fallback>
              </mc:AlternateConten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31</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各区县应依据《山东省社会信用条例》全面推进社</w:t>
            </w:r>
          </w:p>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会信用体系建设各项工作。</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区发改局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vAlign w:val="center"/>
          </w:tcPr>
          <w:p w:rsidR="00784720" w:rsidRDefault="00375CA6">
            <w:pPr>
              <w:widowControl/>
              <w:jc w:val="center"/>
              <w:rPr>
                <w:sz w:val="28"/>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11430</wp:posOffset>
                      </wp:positionV>
                      <wp:extent cx="1547495" cy="793750"/>
                      <wp:effectExtent l="1905" t="4445" r="12700" b="20955"/>
                      <wp:wrapNone/>
                      <wp:docPr id="11" name="直接连接符 11"/>
                      <wp:cNvGraphicFramePr/>
                      <a:graphic xmlns:a="http://schemas.openxmlformats.org/drawingml/2006/main">
                        <a:graphicData uri="http://schemas.microsoft.com/office/word/2010/wordprocessingShape">
                          <wps:wsp>
                            <wps:cNvCnPr/>
                            <wps:spPr>
                              <a:xfrm>
                                <a:off x="8469630" y="1152525"/>
                                <a:ext cx="1547495" cy="79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5pt;margin-top:0.9pt;height:62.5pt;width:121.85pt;z-index:251667456;mso-width-relative:page;mso-height-relative:page;" filled="f" stroked="t" coordsize="21600,21600" o:gfxdata="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VJ4LWAAAACAEAAA8AAAAAAAAAAQAgAAAAIgAAAGRycy9kb3ducmV2LnhtbFBLAQIU&#10;ABQAAAAIAIdO4kBHzCzN9QEAAMQDAAAOAAAAAAAAAAEAIAAAACUBAABkcnMvZTJvRG9jLnhtbFBL&#10;BQYAAAAABgAGAFkBAACMBQAAAAA=&#10;">
                      <v:fill on="f" focussize="0,0"/>
                      <v:stroke weight="0.5pt" color="#000000 [3200]" miterlimit="8" joinstyle="miter"/>
                      <v:imagedata o:title=""/>
                      <o:lock v:ext="edit" aspectratio="f"/>
                    </v:line>
                  </w:pict>
                </mc:Fallback>
              </mc:AlternateConten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32</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完成政府部门和国有企业拖欠中小企业和民营企业</w:t>
            </w:r>
          </w:p>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欠款清理工作。</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区工信局</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已完成</w:t>
            </w:r>
          </w:p>
        </w:tc>
        <w:tc>
          <w:tcPr>
            <w:tcW w:w="2450" w:type="dxa"/>
            <w:vAlign w:val="center"/>
          </w:tcPr>
          <w:p w:rsidR="00784720" w:rsidRDefault="00375CA6">
            <w:pPr>
              <w:widowControl/>
              <w:jc w:val="center"/>
              <w:rPr>
                <w:sz w:val="28"/>
              </w:rPr>
            </w:pPr>
            <w:r>
              <w:rPr>
                <w:noProof/>
                <w:sz w:val="28"/>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10795</wp:posOffset>
                      </wp:positionV>
                      <wp:extent cx="1571625" cy="793750"/>
                      <wp:effectExtent l="1905" t="4445" r="7620" b="20955"/>
                      <wp:wrapNone/>
                      <wp:docPr id="8" name="直接连接符 8"/>
                      <wp:cNvGraphicFramePr/>
                      <a:graphic xmlns:a="http://schemas.openxmlformats.org/drawingml/2006/main">
                        <a:graphicData uri="http://schemas.microsoft.com/office/word/2010/wordprocessingShape">
                          <wps:wsp>
                            <wps:cNvCnPr/>
                            <wps:spPr>
                              <a:xfrm>
                                <a:off x="8453755" y="2747645"/>
                                <a:ext cx="1571625" cy="79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85pt;margin-top:0.85pt;height:62.5pt;width:123.75pt;z-index:251668480;mso-width-relative:page;mso-height-relative:page;" filled="f" stroked="t" coordsize="21600,21600" o:gfxdata="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bgbe/UAAAACAEAAA8AAAAAAAAAAQAgAAAAIgAAAGRycy9kb3ducmV2LnhtbFBLAQIUABQA&#10;AAAIAIdO4kDd6Nak9AEAAMIDAAAOAAAAAAAAAAEAIAAAACMBAABkcnMvZTJvRG9jLnhtbFBLBQYA&#10;AAAABgAGAFkBAACJBQAAAAA=&#10;">
                      <v:fill on="f" focussize="0,0"/>
                      <v:stroke weight="0.5pt" color="#000000 [3200]" miterlimit="8" joinstyle="miter"/>
                      <v:imagedata o:title=""/>
                      <o:lock v:ext="edit" aspectratio="f"/>
                    </v:line>
                  </w:pict>
                </mc:Fallback>
              </mc:AlternateConten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33</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积极报送本区县工作创新做法和典型经验，比如在全国性工作会议上做典型经验发言（提供相关新闻报道），或由国家相关部门印发文件予以推广（提供相关文件），或由中央级媒体进行宣传报道。</w:t>
            </w:r>
            <w:r>
              <w:rPr>
                <w:rFonts w:ascii="仿宋_GB2312" w:eastAsia="仿宋_GB2312" w:hAnsi="宋体" w:cs="仿宋_GB2312" w:hint="eastAsia"/>
                <w:b/>
                <w:bCs/>
                <w:color w:val="000000"/>
                <w:kern w:val="0"/>
                <w:sz w:val="28"/>
                <w:szCs w:val="28"/>
                <w:lang w:bidi="ar"/>
              </w:rPr>
              <w:t>(可与信用无关，必须是国家级层面）</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各区直部门</w:t>
            </w:r>
          </w:p>
        </w:tc>
        <w:tc>
          <w:tcPr>
            <w:tcW w:w="1763"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第一轮6月10日前，第二轮6月20日前</w:t>
            </w:r>
          </w:p>
        </w:tc>
        <w:tc>
          <w:tcPr>
            <w:tcW w:w="2450" w:type="dxa"/>
            <w:vAlign w:val="center"/>
          </w:tcPr>
          <w:p w:rsidR="00784720" w:rsidRDefault="00375CA6">
            <w:pPr>
              <w:widowControl/>
              <w:jc w:val="left"/>
              <w:rPr>
                <w:sz w:val="28"/>
              </w:rPr>
            </w:pPr>
            <w:r>
              <w:rPr>
                <w:rFonts w:ascii="仿宋_GB2312" w:eastAsia="仿宋_GB2312" w:hAnsi="宋体" w:cs="仿宋_GB2312" w:hint="eastAsia"/>
                <w:color w:val="000000"/>
                <w:kern w:val="0"/>
                <w:sz w:val="28"/>
                <w:szCs w:val="28"/>
                <w:lang w:bidi="ar"/>
              </w:rPr>
              <w:t>报送相关材料及宣传报道链接</w:t>
            </w:r>
          </w:p>
        </w:tc>
      </w:tr>
    </w:tbl>
    <w:p w:rsidR="00784720" w:rsidRDefault="00375CA6">
      <w:pPr>
        <w:rPr>
          <w:rFonts w:ascii="黑体" w:eastAsia="黑体" w:hAnsi="黑体" w:cs="黑体"/>
          <w:sz w:val="32"/>
          <w:szCs w:val="32"/>
        </w:rPr>
      </w:pPr>
      <w:r>
        <w:rPr>
          <w:rFonts w:ascii="黑体" w:eastAsia="黑体" w:hAnsi="黑体" w:cs="黑体" w:hint="eastAsia"/>
          <w:sz w:val="32"/>
          <w:szCs w:val="32"/>
        </w:rPr>
        <w:t>二、街道办事处</w:t>
      </w:r>
    </w:p>
    <w:tbl>
      <w:tblPr>
        <w:tblStyle w:val="a3"/>
        <w:tblW w:w="14913" w:type="dxa"/>
        <w:tblInd w:w="-457" w:type="dxa"/>
        <w:tblLook w:val="04A0" w:firstRow="1" w:lastRow="0" w:firstColumn="1" w:lastColumn="0" w:noHBand="0" w:noVBand="1"/>
      </w:tblPr>
      <w:tblGrid>
        <w:gridCol w:w="938"/>
        <w:gridCol w:w="6750"/>
        <w:gridCol w:w="3012"/>
        <w:gridCol w:w="1763"/>
        <w:gridCol w:w="2450"/>
      </w:tblGrid>
      <w:tr w:rsidR="00784720">
        <w:tc>
          <w:tcPr>
            <w:tcW w:w="938"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序号</w:t>
            </w:r>
          </w:p>
        </w:tc>
        <w:tc>
          <w:tcPr>
            <w:tcW w:w="6750"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具体任务</w:t>
            </w:r>
          </w:p>
        </w:tc>
        <w:tc>
          <w:tcPr>
            <w:tcW w:w="3012"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责任部门</w:t>
            </w:r>
          </w:p>
        </w:tc>
        <w:tc>
          <w:tcPr>
            <w:tcW w:w="1763"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完成时限</w:t>
            </w:r>
          </w:p>
        </w:tc>
        <w:tc>
          <w:tcPr>
            <w:tcW w:w="2450" w:type="dxa"/>
          </w:tcPr>
          <w:p w:rsidR="00784720" w:rsidRDefault="00375CA6">
            <w:pPr>
              <w:jc w:val="center"/>
              <w:rPr>
                <w:rFonts w:ascii="黑体" w:eastAsia="黑体" w:hAnsi="黑体" w:cs="黑体"/>
                <w:sz w:val="32"/>
                <w:szCs w:val="32"/>
              </w:rPr>
            </w:pPr>
            <w:r>
              <w:rPr>
                <w:rFonts w:ascii="黑体" w:eastAsia="黑体" w:hAnsi="黑体" w:cs="黑体" w:hint="eastAsia"/>
                <w:sz w:val="32"/>
                <w:szCs w:val="32"/>
              </w:rPr>
              <w:t>佐证方式</w:t>
            </w:r>
          </w:p>
        </w:tc>
      </w:tr>
      <w:tr w:rsidR="00784720">
        <w:tc>
          <w:tcPr>
            <w:tcW w:w="938" w:type="dxa"/>
          </w:tcPr>
          <w:p w:rsidR="00784720" w:rsidRDefault="00375CA6">
            <w:pPr>
              <w:jc w:val="center"/>
              <w:rPr>
                <w:rFonts w:ascii="仿宋" w:eastAsia="仿宋" w:hAnsi="仿宋" w:cs="仿宋"/>
                <w:sz w:val="28"/>
                <w:szCs w:val="28"/>
              </w:rPr>
            </w:pPr>
            <w:r>
              <w:rPr>
                <w:rFonts w:ascii="仿宋" w:eastAsia="仿宋" w:hAnsi="仿宋" w:cs="仿宋" w:hint="eastAsia"/>
                <w:sz w:val="28"/>
                <w:szCs w:val="28"/>
              </w:rPr>
              <w:t>1</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党政机关、事业单位</w:t>
            </w:r>
            <w:r>
              <w:rPr>
                <w:rFonts w:ascii="仿宋_GB2312" w:eastAsia="仿宋_GB2312" w:hAnsi="宋体" w:cs="仿宋_GB2312" w:hint="eastAsia"/>
                <w:color w:val="000000"/>
                <w:kern w:val="0"/>
                <w:sz w:val="28"/>
                <w:szCs w:val="28"/>
                <w:lang w:bidi="ar"/>
              </w:rPr>
              <w:t>、村（居）委会</w:t>
            </w:r>
            <w:r>
              <w:rPr>
                <w:rFonts w:ascii="仿宋_GB2312" w:eastAsia="仿宋_GB2312" w:hAnsi="宋体" w:cs="仿宋_GB2312"/>
                <w:color w:val="000000"/>
                <w:kern w:val="0"/>
                <w:sz w:val="28"/>
                <w:szCs w:val="28"/>
                <w:lang w:bidi="ar"/>
              </w:rPr>
              <w:t>失信案件</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零存量、零增量</w:t>
            </w:r>
            <w:r>
              <w:rPr>
                <w:rFonts w:ascii="仿宋_GB2312" w:eastAsia="仿宋_GB2312" w:hAnsi="宋体" w:cs="仿宋_GB2312"/>
                <w:color w:val="000000"/>
                <w:kern w:val="0"/>
                <w:sz w:val="28"/>
                <w:szCs w:val="28"/>
                <w:lang w:bidi="ar"/>
              </w:rPr>
              <w:t>”</w:t>
            </w:r>
            <w:r>
              <w:rPr>
                <w:rFonts w:ascii="仿宋_GB2312" w:eastAsia="仿宋_GB2312" w:hAnsi="宋体" w:cs="仿宋_GB2312" w:hint="eastAsia"/>
                <w:color w:val="000000"/>
                <w:kern w:val="0"/>
                <w:sz w:val="28"/>
                <w:szCs w:val="28"/>
                <w:lang w:bidi="ar"/>
              </w:rPr>
              <w:t>。</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长期工作</w:t>
            </w:r>
          </w:p>
        </w:tc>
        <w:tc>
          <w:tcPr>
            <w:tcW w:w="2450" w:type="dxa"/>
          </w:tcPr>
          <w:p w:rsidR="00784720" w:rsidRDefault="00375CA6">
            <w:pPr>
              <w:widowControl/>
              <w:jc w:val="left"/>
              <w:rPr>
                <w:rFonts w:ascii="仿宋_GB2312" w:eastAsia="仿宋_GB2312" w:hAnsi="宋体" w:cs="仿宋_GB2312"/>
                <w:color w:val="000000"/>
                <w:kern w:val="0"/>
                <w:sz w:val="28"/>
                <w:szCs w:val="28"/>
                <w:lang w:bidi="ar"/>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6985</wp:posOffset>
                      </wp:positionV>
                      <wp:extent cx="1548130" cy="770890"/>
                      <wp:effectExtent l="1905" t="4445" r="12065" b="5715"/>
                      <wp:wrapNone/>
                      <wp:docPr id="12" name="直接连接符 12"/>
                      <wp:cNvGraphicFramePr/>
                      <a:graphic xmlns:a="http://schemas.openxmlformats.org/drawingml/2006/main">
                        <a:graphicData uri="http://schemas.microsoft.com/office/word/2010/wordprocessingShape">
                          <wps:wsp>
                            <wps:cNvCnPr/>
                            <wps:spPr>
                              <a:xfrm>
                                <a:off x="8493125" y="3961765"/>
                                <a:ext cx="1548130" cy="770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8pt;margin-top:0.55pt;height:60.7pt;width:121.9pt;z-index:251669504;mso-width-relative:page;mso-height-relative:page;" filled="f" stroked="t" coordsize="21600,21600" o:gfxdata="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MhLg1wAAAAgBAAAPAAAAAAAAAAEAIAAAACIAAABkcnMvZG93bnJldi54bWxQ&#10;SwECFAAUAAAACACHTuJAPW1SvPgBAADEAwAADgAAAAAAAAABACAAAAAmAQAAZHJzL2Uyb0RvYy54&#10;bWxQSwUGAAAAAAYABgBZAQAAkAUAAAAA&#10;">
                      <v:fill on="f" focussize="0,0"/>
                      <v:stroke weight="0.5pt" color="#000000 [3200]" miterlimit="8" joinstyle="miter"/>
                      <v:imagedata o:title=""/>
                      <o:lock v:ext="edit" aspectratio="f"/>
                    </v:line>
                  </w:pict>
                </mc:Fallback>
              </mc:AlternateConten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2</w:t>
            </w:r>
          </w:p>
        </w:tc>
        <w:tc>
          <w:tcPr>
            <w:tcW w:w="67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开展“诚信建设万里行，百城万企亮信用”宣传活</w:t>
            </w:r>
            <w:r>
              <w:rPr>
                <w:rFonts w:ascii="仿宋_GB2312" w:eastAsia="仿宋_GB2312" w:hAnsi="宋体" w:cs="仿宋_GB2312"/>
                <w:color w:val="000000"/>
                <w:kern w:val="0"/>
                <w:sz w:val="28"/>
                <w:szCs w:val="28"/>
                <w:lang w:bidi="ar"/>
              </w:rPr>
              <w:t>动</w:t>
            </w:r>
            <w:r>
              <w:rPr>
                <w:rFonts w:ascii="仿宋_GB2312" w:eastAsia="仿宋_GB2312" w:hAnsi="宋体" w:cs="仿宋_GB2312" w:hint="eastAsia"/>
                <w:color w:val="000000"/>
                <w:kern w:val="0"/>
                <w:sz w:val="28"/>
                <w:szCs w:val="28"/>
                <w:lang w:bidi="ar"/>
              </w:rPr>
              <w:t>。每个街道组织5家诚信企业参加活动，现场发放宣传手册，签署诚信经营承诺书，并在信用济南网站公示。</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6月18日前</w:t>
            </w:r>
          </w:p>
        </w:tc>
        <w:tc>
          <w:tcPr>
            <w:tcW w:w="2450" w:type="dxa"/>
            <w:vAlign w:val="center"/>
          </w:tcPr>
          <w:p w:rsidR="00784720" w:rsidRDefault="00375CA6">
            <w:pPr>
              <w:widowControl/>
              <w:spacing w:line="46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区统一安排，各街道按要求组织企业参加，企业材料清单（见附件5）</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3</w:t>
            </w:r>
          </w:p>
        </w:tc>
        <w:tc>
          <w:tcPr>
            <w:tcW w:w="6750" w:type="dxa"/>
            <w:vAlign w:val="center"/>
          </w:tcPr>
          <w:p w:rsidR="00784720" w:rsidRDefault="00375CA6" w:rsidP="006F5EFD">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梳理汇总</w:t>
            </w:r>
            <w:r>
              <w:rPr>
                <w:rFonts w:ascii="仿宋_GB2312" w:eastAsia="仿宋_GB2312" w:hAnsi="宋体" w:cs="仿宋_GB2312"/>
                <w:color w:val="000000"/>
                <w:kern w:val="0"/>
                <w:sz w:val="28"/>
                <w:szCs w:val="28"/>
                <w:lang w:bidi="ar"/>
              </w:rPr>
              <w:t>2018年6月以来，本</w:t>
            </w:r>
            <w:r>
              <w:rPr>
                <w:rFonts w:ascii="仿宋_GB2312" w:eastAsia="仿宋_GB2312" w:hAnsi="宋体" w:cs="仿宋_GB2312" w:hint="eastAsia"/>
                <w:color w:val="000000"/>
                <w:kern w:val="0"/>
                <w:sz w:val="28"/>
                <w:szCs w:val="28"/>
                <w:lang w:bidi="ar"/>
              </w:rPr>
              <w:t>街道</w:t>
            </w:r>
            <w:r>
              <w:rPr>
                <w:rFonts w:ascii="仿宋_GB2312" w:eastAsia="仿宋_GB2312" w:hAnsi="宋体" w:cs="仿宋_GB2312"/>
                <w:color w:val="000000"/>
                <w:kern w:val="0"/>
                <w:sz w:val="28"/>
                <w:szCs w:val="28"/>
                <w:lang w:bidi="ar"/>
              </w:rPr>
              <w:t>开展的各类诚信宣传及诚信典型评选活动</w:t>
            </w:r>
            <w:r>
              <w:rPr>
                <w:rFonts w:ascii="仿宋_GB2312" w:eastAsia="仿宋_GB2312" w:hAnsi="宋体" w:cs="仿宋_GB2312" w:hint="eastAsia"/>
                <w:color w:val="000000"/>
                <w:kern w:val="0"/>
                <w:sz w:val="28"/>
                <w:szCs w:val="28"/>
                <w:lang w:bidi="ar"/>
              </w:rPr>
              <w:t>。（安全、质量、法制、营商环境相关均可）</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第一轮6月10日前，第二轮6月20日前</w:t>
            </w:r>
          </w:p>
        </w:tc>
        <w:tc>
          <w:tcPr>
            <w:tcW w:w="2450" w:type="dxa"/>
            <w:vAlign w:val="center"/>
          </w:tcPr>
          <w:p w:rsidR="00784720" w:rsidRDefault="00375CA6">
            <w:pPr>
              <w:widowControl/>
              <w:spacing w:line="480" w:lineRule="exac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按照宣传材料要求（见附件6）报送，每街道不少于2篇。</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4</w:t>
            </w:r>
          </w:p>
        </w:tc>
        <w:tc>
          <w:tcPr>
            <w:tcW w:w="6750" w:type="dxa"/>
            <w:vAlign w:val="center"/>
          </w:tcPr>
          <w:p w:rsidR="00784720" w:rsidRDefault="00375CA6">
            <w:pPr>
              <w:widowControl/>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积极推广“信易贷”平台，召开“信易贷”专场推介会，每个街道组织5家</w:t>
            </w:r>
            <w:r>
              <w:rPr>
                <w:rFonts w:ascii="仿宋_GB2312" w:eastAsia="仿宋_GB2312" w:hAnsi="宋体" w:cs="仿宋_GB2312" w:hint="eastAsia"/>
                <w:b/>
                <w:bCs/>
                <w:color w:val="000000"/>
                <w:kern w:val="0"/>
                <w:sz w:val="28"/>
                <w:szCs w:val="28"/>
                <w:lang w:bidi="ar"/>
              </w:rPr>
              <w:t>有融资需求</w:t>
            </w:r>
            <w:r>
              <w:rPr>
                <w:rFonts w:ascii="仿宋_GB2312" w:eastAsia="仿宋_GB2312" w:hAnsi="宋体" w:cs="仿宋_GB2312" w:hint="eastAsia"/>
                <w:color w:val="000000"/>
                <w:kern w:val="0"/>
                <w:sz w:val="28"/>
                <w:szCs w:val="28"/>
                <w:lang w:bidi="ar"/>
              </w:rPr>
              <w:t>的企业参加活动。</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6月18日前</w:t>
            </w:r>
          </w:p>
        </w:tc>
        <w:tc>
          <w:tcPr>
            <w:tcW w:w="2450" w:type="dxa"/>
            <w:vAlign w:val="center"/>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区统一安排，各街道按要求组织企业参加。</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5</w:t>
            </w:r>
          </w:p>
        </w:tc>
        <w:tc>
          <w:tcPr>
            <w:tcW w:w="6750" w:type="dxa"/>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落实“信易贷”名单月度推荐机制，按月报送《“信易贷”推荐企业名单》，确保推荐企业名单内获贷企业比例在 20%以上。</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6月20日前</w:t>
            </w:r>
          </w:p>
        </w:tc>
        <w:tc>
          <w:tcPr>
            <w:tcW w:w="2450"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按比例推荐企业名单，</w:t>
            </w:r>
            <w:proofErr w:type="gramStart"/>
            <w:r>
              <w:rPr>
                <w:rFonts w:ascii="仿宋_GB2312" w:eastAsia="仿宋_GB2312" w:hAnsi="宋体" w:cs="仿宋_GB2312" w:hint="eastAsia"/>
                <w:color w:val="000000"/>
                <w:kern w:val="0"/>
                <w:sz w:val="28"/>
                <w:szCs w:val="28"/>
                <w:lang w:bidi="ar"/>
              </w:rPr>
              <w:t>报送台</w:t>
            </w:r>
            <w:proofErr w:type="gramEnd"/>
            <w:r>
              <w:rPr>
                <w:rFonts w:ascii="仿宋_GB2312" w:eastAsia="仿宋_GB2312" w:hAnsi="宋体" w:cs="仿宋_GB2312" w:hint="eastAsia"/>
                <w:color w:val="000000"/>
                <w:kern w:val="0"/>
                <w:sz w:val="28"/>
                <w:szCs w:val="28"/>
                <w:lang w:bidi="ar"/>
              </w:rPr>
              <w:t>账（见附件8）</w:t>
            </w:r>
          </w:p>
        </w:tc>
      </w:tr>
      <w:tr w:rsidR="00784720">
        <w:tc>
          <w:tcPr>
            <w:tcW w:w="938" w:type="dxa"/>
            <w:vAlign w:val="center"/>
          </w:tcPr>
          <w:p w:rsidR="00784720" w:rsidRDefault="00375CA6">
            <w:pPr>
              <w:jc w:val="center"/>
              <w:rPr>
                <w:rFonts w:ascii="仿宋" w:eastAsia="仿宋" w:hAnsi="仿宋" w:cs="仿宋"/>
                <w:sz w:val="28"/>
                <w:szCs w:val="28"/>
              </w:rPr>
            </w:pPr>
            <w:r>
              <w:rPr>
                <w:rFonts w:ascii="仿宋" w:eastAsia="仿宋" w:hAnsi="仿宋" w:cs="仿宋" w:hint="eastAsia"/>
                <w:sz w:val="28"/>
                <w:szCs w:val="28"/>
              </w:rPr>
              <w:t>6</w:t>
            </w:r>
          </w:p>
        </w:tc>
        <w:tc>
          <w:tcPr>
            <w:tcW w:w="6750" w:type="dxa"/>
          </w:tcPr>
          <w:p w:rsidR="00784720" w:rsidRDefault="00375CA6">
            <w:pPr>
              <w:widowControl/>
              <w:spacing w:line="480" w:lineRule="exact"/>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积极报送街道工作创新做法和典型经验，比如在全国性工作会议上做典型经验发言（提供相关新闻报道），或由国家相关部门印发文件予以推广（提供相关文件），或由中央级媒体进行宣传报道。</w:t>
            </w:r>
            <w:r>
              <w:rPr>
                <w:rFonts w:ascii="仿宋_GB2312" w:eastAsia="仿宋_GB2312" w:hAnsi="宋体" w:cs="仿宋_GB2312" w:hint="eastAsia"/>
                <w:b/>
                <w:bCs/>
                <w:color w:val="000000"/>
                <w:kern w:val="0"/>
                <w:sz w:val="28"/>
                <w:szCs w:val="28"/>
                <w:lang w:bidi="ar"/>
              </w:rPr>
              <w:t>(可与信用无关，必须是国家级层面）</w:t>
            </w:r>
          </w:p>
        </w:tc>
        <w:tc>
          <w:tcPr>
            <w:tcW w:w="3012" w:type="dxa"/>
            <w:vAlign w:val="center"/>
          </w:tcPr>
          <w:p w:rsidR="00784720" w:rsidRDefault="00375CA6">
            <w:pPr>
              <w:widowControl/>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第一轮6月10日前，第二轮6月20日前</w:t>
            </w:r>
          </w:p>
        </w:tc>
        <w:tc>
          <w:tcPr>
            <w:tcW w:w="2450" w:type="dxa"/>
            <w:vAlign w:val="center"/>
          </w:tcPr>
          <w:p w:rsidR="00784720" w:rsidRDefault="00375CA6">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报送相关材料及宣传报道链接</w:t>
            </w:r>
          </w:p>
        </w:tc>
      </w:tr>
      <w:tr w:rsidR="00E309F1" w:rsidTr="00E309F1">
        <w:tc>
          <w:tcPr>
            <w:tcW w:w="938" w:type="dxa"/>
            <w:vAlign w:val="center"/>
          </w:tcPr>
          <w:p w:rsidR="00E309F1" w:rsidRPr="00E309F1" w:rsidRDefault="00E309F1" w:rsidP="00E309F1">
            <w:pPr>
              <w:jc w:val="center"/>
              <w:rPr>
                <w:rFonts w:ascii="仿宋" w:eastAsia="仿宋" w:hAnsi="仿宋" w:cs="仿宋" w:hint="eastAsia"/>
                <w:sz w:val="28"/>
                <w:szCs w:val="28"/>
              </w:rPr>
            </w:pPr>
            <w:r>
              <w:rPr>
                <w:rFonts w:ascii="仿宋" w:eastAsia="仿宋" w:hAnsi="仿宋" w:cs="仿宋" w:hint="eastAsia"/>
                <w:sz w:val="28"/>
                <w:szCs w:val="28"/>
              </w:rPr>
              <w:t>7</w:t>
            </w:r>
          </w:p>
        </w:tc>
        <w:tc>
          <w:tcPr>
            <w:tcW w:w="6750" w:type="dxa"/>
            <w:vAlign w:val="center"/>
          </w:tcPr>
          <w:p w:rsidR="00E309F1" w:rsidRDefault="00E309F1" w:rsidP="00E309F1">
            <w:pPr>
              <w:widowControl/>
              <w:spacing w:line="480" w:lineRule="exact"/>
              <w:jc w:val="left"/>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积极提报市场主体间合同及其履约信息，</w:t>
            </w:r>
            <w:r>
              <w:rPr>
                <w:rFonts w:ascii="仿宋_GB2312" w:eastAsia="仿宋_GB2312" w:hAnsi="宋体" w:cs="仿宋_GB2312" w:hint="eastAsia"/>
                <w:color w:val="000000"/>
                <w:kern w:val="0"/>
                <w:sz w:val="28"/>
                <w:szCs w:val="28"/>
                <w:lang w:bidi="ar"/>
              </w:rPr>
              <w:t>每个街道</w:t>
            </w:r>
            <w:r>
              <w:rPr>
                <w:rFonts w:ascii="仿宋_GB2312" w:eastAsia="仿宋_GB2312" w:hAnsi="宋体" w:cs="仿宋_GB2312" w:hint="eastAsia"/>
                <w:color w:val="000000"/>
                <w:kern w:val="0"/>
                <w:sz w:val="28"/>
                <w:szCs w:val="28"/>
                <w:lang w:bidi="ar"/>
              </w:rPr>
              <w:t>至少提报60条。</w:t>
            </w:r>
            <w:r w:rsidRPr="00E309F1">
              <w:rPr>
                <w:rFonts w:ascii="仿宋_GB2312" w:eastAsia="仿宋_GB2312" w:hAnsi="宋体" w:cs="仿宋_GB2312" w:hint="eastAsia"/>
                <w:b/>
                <w:color w:val="000000"/>
                <w:kern w:val="0"/>
                <w:sz w:val="28"/>
                <w:szCs w:val="28"/>
                <w:lang w:bidi="ar"/>
              </w:rPr>
              <w:t>（合同只归集不公示，</w:t>
            </w:r>
            <w:bookmarkStart w:id="0" w:name="_GoBack"/>
            <w:bookmarkEnd w:id="0"/>
            <w:r w:rsidRPr="00E309F1">
              <w:rPr>
                <w:rFonts w:ascii="仿宋_GB2312" w:eastAsia="仿宋_GB2312" w:hAnsi="宋体" w:cs="仿宋_GB2312" w:hint="eastAsia"/>
                <w:b/>
                <w:color w:val="000000"/>
                <w:kern w:val="0"/>
                <w:sz w:val="28"/>
                <w:szCs w:val="28"/>
                <w:lang w:bidi="ar"/>
              </w:rPr>
              <w:t>可提升企业信誉度）</w:t>
            </w:r>
          </w:p>
        </w:tc>
        <w:tc>
          <w:tcPr>
            <w:tcW w:w="3012" w:type="dxa"/>
            <w:vAlign w:val="center"/>
          </w:tcPr>
          <w:p w:rsidR="00E309F1" w:rsidRDefault="00E309F1" w:rsidP="00E309F1">
            <w:pPr>
              <w:widowControl/>
              <w:jc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各街道办事处</w:t>
            </w:r>
          </w:p>
        </w:tc>
        <w:tc>
          <w:tcPr>
            <w:tcW w:w="1763" w:type="dxa"/>
            <w:vAlign w:val="center"/>
          </w:tcPr>
          <w:p w:rsidR="00E309F1" w:rsidRPr="00E309F1" w:rsidRDefault="00E309F1" w:rsidP="00E309F1">
            <w:pPr>
              <w:widowControl/>
              <w:jc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第一轮6月10日前，第二轮6月20日前</w:t>
            </w:r>
          </w:p>
        </w:tc>
        <w:tc>
          <w:tcPr>
            <w:tcW w:w="2450" w:type="dxa"/>
            <w:vAlign w:val="center"/>
          </w:tcPr>
          <w:p w:rsidR="00E309F1" w:rsidRDefault="00E309F1" w:rsidP="00E309F1">
            <w:pPr>
              <w:widowControl/>
              <w:jc w:val="left"/>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截止2021年5月31日已履行完毕的市场主体间合同PDF版</w:t>
            </w:r>
          </w:p>
        </w:tc>
      </w:tr>
    </w:tbl>
    <w:p w:rsidR="00784720" w:rsidRDefault="00784720">
      <w:pPr>
        <w:rPr>
          <w:rFonts w:ascii="黑体" w:eastAsia="黑体" w:hAnsi="黑体" w:cs="黑体"/>
          <w:sz w:val="32"/>
          <w:szCs w:val="32"/>
        </w:rPr>
      </w:pPr>
    </w:p>
    <w:sectPr w:rsidR="007847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20" w:rsidRDefault="00A06F20" w:rsidP="006F5EFD">
      <w:r>
        <w:separator/>
      </w:r>
    </w:p>
  </w:endnote>
  <w:endnote w:type="continuationSeparator" w:id="0">
    <w:p w:rsidR="00A06F20" w:rsidRDefault="00A06F20" w:rsidP="006F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20" w:rsidRDefault="00A06F20" w:rsidP="006F5EFD">
      <w:r>
        <w:separator/>
      </w:r>
    </w:p>
  </w:footnote>
  <w:footnote w:type="continuationSeparator" w:id="0">
    <w:p w:rsidR="00A06F20" w:rsidRDefault="00A06F20" w:rsidP="006F5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AFE54"/>
    <w:multiLevelType w:val="singleLevel"/>
    <w:tmpl w:val="A72AFE5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20"/>
    <w:rsid w:val="00375CA6"/>
    <w:rsid w:val="006F5EFD"/>
    <w:rsid w:val="00784720"/>
    <w:rsid w:val="00786484"/>
    <w:rsid w:val="00A06F20"/>
    <w:rsid w:val="00E21BEE"/>
    <w:rsid w:val="00E309F1"/>
    <w:rsid w:val="060C2BC1"/>
    <w:rsid w:val="0814317A"/>
    <w:rsid w:val="083356E3"/>
    <w:rsid w:val="14C758D1"/>
    <w:rsid w:val="37C7737D"/>
    <w:rsid w:val="390F33B7"/>
    <w:rsid w:val="3A80576C"/>
    <w:rsid w:val="515D5EA9"/>
    <w:rsid w:val="52ED33A5"/>
    <w:rsid w:val="68661DEB"/>
    <w:rsid w:val="6C6C64B1"/>
    <w:rsid w:val="7AD5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F5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5EFD"/>
    <w:rPr>
      <w:rFonts w:asciiTheme="minorHAnsi" w:eastAsiaTheme="minorEastAsia" w:hAnsiTheme="minorHAnsi" w:cstheme="minorBidi"/>
      <w:kern w:val="2"/>
      <w:sz w:val="18"/>
      <w:szCs w:val="18"/>
    </w:rPr>
  </w:style>
  <w:style w:type="paragraph" w:styleId="a5">
    <w:name w:val="footer"/>
    <w:basedOn w:val="a"/>
    <w:link w:val="Char0"/>
    <w:rsid w:val="006F5EFD"/>
    <w:pPr>
      <w:tabs>
        <w:tab w:val="center" w:pos="4153"/>
        <w:tab w:val="right" w:pos="8306"/>
      </w:tabs>
      <w:snapToGrid w:val="0"/>
      <w:jc w:val="left"/>
    </w:pPr>
    <w:rPr>
      <w:sz w:val="18"/>
      <w:szCs w:val="18"/>
    </w:rPr>
  </w:style>
  <w:style w:type="character" w:customStyle="1" w:styleId="Char0">
    <w:name w:val="页脚 Char"/>
    <w:basedOn w:val="a0"/>
    <w:link w:val="a5"/>
    <w:rsid w:val="006F5EF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F5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5EFD"/>
    <w:rPr>
      <w:rFonts w:asciiTheme="minorHAnsi" w:eastAsiaTheme="minorEastAsia" w:hAnsiTheme="minorHAnsi" w:cstheme="minorBidi"/>
      <w:kern w:val="2"/>
      <w:sz w:val="18"/>
      <w:szCs w:val="18"/>
    </w:rPr>
  </w:style>
  <w:style w:type="paragraph" w:styleId="a5">
    <w:name w:val="footer"/>
    <w:basedOn w:val="a"/>
    <w:link w:val="Char0"/>
    <w:rsid w:val="006F5EFD"/>
    <w:pPr>
      <w:tabs>
        <w:tab w:val="center" w:pos="4153"/>
        <w:tab w:val="right" w:pos="8306"/>
      </w:tabs>
      <w:snapToGrid w:val="0"/>
      <w:jc w:val="left"/>
    </w:pPr>
    <w:rPr>
      <w:sz w:val="18"/>
      <w:szCs w:val="18"/>
    </w:rPr>
  </w:style>
  <w:style w:type="character" w:customStyle="1" w:styleId="Char0">
    <w:name w:val="页脚 Char"/>
    <w:basedOn w:val="a0"/>
    <w:link w:val="a5"/>
    <w:rsid w:val="006F5EF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561</Words>
  <Characters>3198</Characters>
  <Application>Microsoft Office Word</Application>
  <DocSecurity>0</DocSecurity>
  <Lines>26</Lines>
  <Paragraphs>7</Paragraphs>
  <ScaleCrop>false</ScaleCrop>
  <Company>jinhu.me</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jhfans</cp:lastModifiedBy>
  <cp:revision>3</cp:revision>
  <dcterms:created xsi:type="dcterms:W3CDTF">2014-10-29T12:08:00Z</dcterms:created>
  <dcterms:modified xsi:type="dcterms:W3CDTF">2021-06-02T10:01:00Z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5B8A62F440474CD1ADBF7CEEF09319C1</vt:lpwstr>
  </property>
</Properties>
</file>