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r>
        <w:rPr>
          <w:rFonts w:hint="eastAsia"/>
          <w:b/>
          <w:sz w:val="44"/>
          <w:szCs w:val="44"/>
        </w:rPr>
        <w:t>济南市长清区市场监督管理局食品销售</w:t>
      </w:r>
    </w:p>
    <w:p>
      <w:pPr>
        <w:jc w:val="center"/>
        <w:rPr>
          <w:b/>
          <w:sz w:val="44"/>
          <w:szCs w:val="44"/>
        </w:rPr>
      </w:pPr>
      <w:r>
        <w:rPr>
          <w:rFonts w:hint="eastAsia"/>
          <w:b/>
          <w:sz w:val="44"/>
          <w:szCs w:val="44"/>
        </w:rPr>
        <w:t>风险分级管理工作实施方案</w:t>
      </w:r>
    </w:p>
    <w:p>
      <w:pPr>
        <w:ind w:firstLine="640"/>
        <w:rPr>
          <w:rFonts w:ascii="仿宋" w:hAnsi="仿宋" w:eastAsia="仿宋" w:cs="仿宋"/>
          <w:sz w:val="32"/>
          <w:szCs w:val="32"/>
        </w:rPr>
      </w:pPr>
      <w:r>
        <w:rPr>
          <w:rFonts w:hint="eastAsia" w:ascii="仿宋" w:hAnsi="仿宋" w:eastAsia="仿宋" w:cs="仿宋"/>
          <w:sz w:val="32"/>
          <w:szCs w:val="32"/>
        </w:rPr>
        <w:t>为加快推进食品销售风险分级管理工作，落实总局《关于开展食品经营风险分级管理工作的指导意见》（市监食经〔2019〕64号）以及省、市局工作部署和要求，结合我区实际，制定本实施方案。</w:t>
      </w:r>
    </w:p>
    <w:p>
      <w:pPr>
        <w:ind w:firstLine="640"/>
        <w:rPr>
          <w:rFonts w:cs="黑体" w:asciiTheme="minorEastAsia" w:hAnsiTheme="minorEastAsia"/>
          <w:b/>
          <w:sz w:val="32"/>
          <w:szCs w:val="32"/>
        </w:rPr>
      </w:pPr>
      <w:r>
        <w:rPr>
          <w:rFonts w:hint="eastAsia" w:cs="黑体" w:asciiTheme="minorEastAsia" w:hAnsiTheme="minorEastAsia"/>
          <w:b/>
          <w:sz w:val="32"/>
          <w:szCs w:val="32"/>
        </w:rPr>
        <w:t>一、工作目标</w:t>
      </w:r>
    </w:p>
    <w:p>
      <w:pPr>
        <w:ind w:firstLine="640" w:firstLineChars="200"/>
        <w:rPr>
          <w:rFonts w:ascii="仿宋" w:hAnsi="仿宋" w:eastAsia="仿宋" w:cs="仿宋"/>
          <w:sz w:val="32"/>
          <w:szCs w:val="32"/>
        </w:rPr>
      </w:pPr>
      <w:r>
        <w:rPr>
          <w:rFonts w:hint="eastAsia" w:ascii="仿宋" w:hAnsi="仿宋" w:eastAsia="仿宋" w:cs="仿宋"/>
          <w:sz w:val="32"/>
          <w:szCs w:val="32"/>
        </w:rPr>
        <w:t>按照“</w:t>
      </w:r>
      <w:r>
        <w:rPr>
          <w:rFonts w:hint="eastAsia" w:ascii="仿宋" w:hAnsi="仿宋" w:eastAsia="仿宋" w:cs="仿宋"/>
          <w:color w:val="000000"/>
          <w:sz w:val="32"/>
          <w:szCs w:val="32"/>
        </w:rPr>
        <w:t>风险分析、量化评价、动态管理、客观公正</w:t>
      </w:r>
      <w:r>
        <w:rPr>
          <w:rFonts w:hint="eastAsia" w:ascii="仿宋" w:hAnsi="仿宋" w:eastAsia="仿宋" w:cs="仿宋"/>
          <w:sz w:val="32"/>
          <w:szCs w:val="32"/>
        </w:rPr>
        <w:t>”的原则，全面评定食品销售经营者食品安全风险等级，进一步规范食品经营行为，落实经营者食品安全主体责任，保证食品安全。坚持日常监管与分级管理相结合，通过评定食品经营风险等级，对食品经营活动实施不同方式的监督管理，合理配置监管资源，提高监管工作的针对性和有效性。</w:t>
      </w:r>
    </w:p>
    <w:p>
      <w:pPr>
        <w:ind w:firstLine="643" w:firstLineChars="200"/>
        <w:rPr>
          <w:rFonts w:cs="仿宋" w:asciiTheme="minorEastAsia" w:hAnsiTheme="minorEastAsia"/>
          <w:b/>
          <w:sz w:val="32"/>
          <w:szCs w:val="32"/>
        </w:rPr>
      </w:pPr>
      <w:r>
        <w:rPr>
          <w:rFonts w:hint="eastAsia" w:cs="仿宋" w:asciiTheme="minorEastAsia" w:hAnsiTheme="minorEastAsia"/>
          <w:b/>
          <w:sz w:val="32"/>
          <w:szCs w:val="32"/>
        </w:rPr>
        <w:t>二、完成时间</w:t>
      </w:r>
    </w:p>
    <w:p>
      <w:pPr>
        <w:ind w:firstLine="640" w:firstLineChars="200"/>
        <w:rPr>
          <w:rFonts w:ascii="仿宋" w:hAnsi="仿宋" w:eastAsia="仿宋" w:cs="仿宋"/>
          <w:sz w:val="32"/>
          <w:szCs w:val="32"/>
        </w:rPr>
      </w:pPr>
      <w:r>
        <w:rPr>
          <w:rFonts w:hint="eastAsia" w:ascii="仿宋" w:hAnsi="仿宋" w:eastAsia="仿宋" w:cs="仿宋"/>
          <w:sz w:val="32"/>
          <w:szCs w:val="32"/>
        </w:rPr>
        <w:t>2020年4月底，要对40%以上食品销售经营者完成风险等级评定；5月底，要完成80%以上食品销售经营者的风险等级评定；至6月底，完成全部风险等级评定工作。适时启动对食品摊点、集中交易市场开办者、网络食品交易第三方平台的风险等级评定工作。</w:t>
      </w:r>
    </w:p>
    <w:p>
      <w:pPr>
        <w:ind w:left="640" w:leftChars="305" w:firstLine="157" w:firstLineChars="49"/>
        <w:rPr>
          <w:rFonts w:cs="黑体" w:asciiTheme="minorEastAsia" w:hAnsiTheme="minorEastAsia"/>
          <w:b/>
          <w:sz w:val="32"/>
          <w:szCs w:val="32"/>
        </w:rPr>
      </w:pPr>
      <w:r>
        <w:rPr>
          <w:rFonts w:hint="eastAsia" w:cs="黑体" w:asciiTheme="minorEastAsia" w:hAnsiTheme="minorEastAsia"/>
          <w:b/>
          <w:sz w:val="32"/>
          <w:szCs w:val="32"/>
        </w:rPr>
        <w:t>三、方法步骤</w:t>
      </w:r>
    </w:p>
    <w:p>
      <w:pPr>
        <w:ind w:firstLine="640" w:firstLineChars="200"/>
        <w:rPr>
          <w:rFonts w:ascii="黑体" w:hAnsi="黑体" w:eastAsia="黑体" w:cs="黑体"/>
          <w:sz w:val="32"/>
          <w:szCs w:val="32"/>
        </w:rPr>
      </w:pPr>
      <w:r>
        <w:rPr>
          <w:rFonts w:hint="eastAsia" w:ascii="楷体" w:hAnsi="楷体" w:eastAsia="楷体" w:cs="Times New Roman"/>
          <w:sz w:val="32"/>
          <w:szCs w:val="32"/>
        </w:rPr>
        <w:t>（一）评定范围</w:t>
      </w:r>
    </w:p>
    <w:p>
      <w:pPr>
        <w:ind w:firstLine="640" w:firstLineChars="200"/>
        <w:rPr>
          <w:rFonts w:ascii="仿宋" w:hAnsi="仿宋" w:eastAsia="仿宋"/>
          <w:sz w:val="32"/>
          <w:szCs w:val="32"/>
        </w:rPr>
      </w:pPr>
      <w:r>
        <w:rPr>
          <w:rFonts w:hint="eastAsia" w:ascii="仿宋" w:hAnsi="仿宋" w:eastAsia="仿宋"/>
          <w:sz w:val="32"/>
          <w:szCs w:val="32"/>
        </w:rPr>
        <w:t>取得《食品经营许可证》的食品销售经营者。主体业态为食品销售经营者，经营类别包括批发经营者、商场超市、食品便利店、食品自动售货经营者、网络食品销售经营者。</w:t>
      </w:r>
      <w:r>
        <w:rPr>
          <w:rFonts w:hint="eastAsia" w:ascii="仿宋" w:hAnsi="仿宋" w:eastAsia="仿宋"/>
          <w:b/>
          <w:sz w:val="32"/>
          <w:szCs w:val="32"/>
        </w:rPr>
        <w:t>登记的住所或经营场所已停止经营和无法联系的食品销售经营者，不进行风险等级评定。</w:t>
      </w:r>
    </w:p>
    <w:p>
      <w:pPr>
        <w:ind w:firstLine="640" w:firstLineChars="200"/>
        <w:rPr>
          <w:rFonts w:ascii="楷体" w:hAnsi="楷体" w:eastAsia="楷体" w:cs="楷体"/>
          <w:sz w:val="32"/>
          <w:szCs w:val="32"/>
        </w:rPr>
      </w:pPr>
      <w:r>
        <w:rPr>
          <w:rFonts w:hint="eastAsia" w:ascii="楷体" w:hAnsi="楷体" w:eastAsia="楷体" w:cs="楷体"/>
          <w:sz w:val="32"/>
          <w:szCs w:val="32"/>
        </w:rPr>
        <w:t>（二）评定依据</w:t>
      </w:r>
    </w:p>
    <w:p>
      <w:pPr>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评定依据为《食品安全法》、《食品安全法实施条例》、</w:t>
      </w:r>
      <w:r>
        <w:rPr>
          <w:rFonts w:hint="eastAsia" w:ascii="仿宋" w:hAnsi="仿宋" w:eastAsia="仿宋" w:cs="仿宋"/>
          <w:sz w:val="32"/>
          <w:szCs w:val="32"/>
        </w:rPr>
        <w:t>《食品生产经营风险分级管理办法（试行）》</w:t>
      </w:r>
      <w:r>
        <w:rPr>
          <w:rFonts w:hint="eastAsia" w:ascii="仿宋" w:hAnsi="仿宋" w:eastAsia="仿宋" w:cs="仿宋"/>
          <w:color w:val="333333"/>
          <w:sz w:val="32"/>
          <w:szCs w:val="32"/>
        </w:rPr>
        <w:t>等法律法规。</w:t>
      </w:r>
    </w:p>
    <w:p>
      <w:pPr>
        <w:ind w:firstLine="640" w:firstLineChars="200"/>
        <w:rPr>
          <w:rFonts w:ascii="楷体" w:hAnsi="楷体" w:eastAsia="楷体" w:cs="楷体"/>
          <w:sz w:val="32"/>
          <w:szCs w:val="32"/>
        </w:rPr>
      </w:pPr>
      <w:r>
        <w:rPr>
          <w:rFonts w:hint="eastAsia" w:ascii="楷体" w:hAnsi="楷体" w:eastAsia="楷体" w:cs="楷体"/>
          <w:sz w:val="32"/>
          <w:szCs w:val="32"/>
        </w:rPr>
        <w:t>（三）评定方法</w:t>
      </w:r>
    </w:p>
    <w:p>
      <w:pPr>
        <w:ind w:firstLine="640" w:firstLineChars="200"/>
        <w:rPr>
          <w:rFonts w:ascii="仿宋" w:hAnsi="仿宋" w:eastAsia="仿宋"/>
          <w:sz w:val="32"/>
          <w:szCs w:val="32"/>
        </w:rPr>
      </w:pPr>
      <w:r>
        <w:rPr>
          <w:rFonts w:ascii="仿宋" w:hAnsi="仿宋" w:eastAsia="仿宋"/>
          <w:sz w:val="32"/>
          <w:szCs w:val="32"/>
        </w:rPr>
        <w:t>采用评分</w:t>
      </w:r>
      <w:r>
        <w:rPr>
          <w:rFonts w:hint="eastAsia" w:ascii="仿宋" w:hAnsi="仿宋" w:eastAsia="仿宋"/>
          <w:sz w:val="32"/>
          <w:szCs w:val="32"/>
        </w:rPr>
        <w:t>方式确定风险等级。风险等级得分为静态风险因素量化分值加动态风险因素量化分值之和。风险等级得分</w:t>
      </w:r>
      <w:r>
        <w:rPr>
          <w:rFonts w:ascii="仿宋" w:hAnsi="仿宋" w:eastAsia="仿宋"/>
          <w:sz w:val="32"/>
          <w:szCs w:val="32"/>
        </w:rPr>
        <w:t>分值越高，风险等级越高。</w:t>
      </w:r>
    </w:p>
    <w:p>
      <w:pPr>
        <w:ind w:firstLine="640" w:firstLineChars="200"/>
        <w:rPr>
          <w:rFonts w:hint="eastAsia" w:ascii="仿宋" w:hAnsi="仿宋" w:eastAsia="仿宋"/>
          <w:b/>
          <w:sz w:val="32"/>
          <w:szCs w:val="32"/>
        </w:rPr>
      </w:pPr>
      <w:r>
        <w:rPr>
          <w:rFonts w:hint="eastAsia" w:ascii="仿宋" w:hAnsi="仿宋" w:eastAsia="仿宋"/>
          <w:sz w:val="32"/>
          <w:szCs w:val="32"/>
        </w:rPr>
        <w:t>1、评定</w:t>
      </w:r>
      <w:r>
        <w:rPr>
          <w:rFonts w:ascii="仿宋" w:hAnsi="仿宋" w:eastAsia="仿宋"/>
          <w:sz w:val="32"/>
          <w:szCs w:val="32"/>
        </w:rPr>
        <w:t>静态风险因素量化分值，</w:t>
      </w:r>
      <w:r>
        <w:rPr>
          <w:rFonts w:hint="eastAsia" w:ascii="仿宋" w:hAnsi="仿宋" w:eastAsia="仿宋"/>
          <w:sz w:val="32"/>
          <w:szCs w:val="32"/>
        </w:rPr>
        <w:t>应当结合食品经营许可信息系统内许可档案，根据静态风险量化分值表所列的项目，</w:t>
      </w:r>
      <w:r>
        <w:rPr>
          <w:rFonts w:ascii="仿宋" w:hAnsi="仿宋" w:eastAsia="仿宋"/>
          <w:sz w:val="32"/>
          <w:szCs w:val="32"/>
        </w:rPr>
        <w:t>逐项计分</w:t>
      </w:r>
      <w:r>
        <w:rPr>
          <w:rFonts w:hint="eastAsia" w:ascii="仿宋" w:hAnsi="仿宋" w:eastAsia="仿宋"/>
          <w:sz w:val="32"/>
          <w:szCs w:val="32"/>
        </w:rPr>
        <w:t>，累计</w:t>
      </w:r>
      <w:r>
        <w:rPr>
          <w:rFonts w:ascii="仿宋" w:hAnsi="仿宋" w:eastAsia="仿宋"/>
          <w:sz w:val="32"/>
          <w:szCs w:val="32"/>
        </w:rPr>
        <w:t>确定</w:t>
      </w:r>
      <w:r>
        <w:rPr>
          <w:rFonts w:hint="eastAsia" w:ascii="仿宋" w:hAnsi="仿宋" w:eastAsia="仿宋"/>
          <w:sz w:val="32"/>
          <w:szCs w:val="32"/>
        </w:rPr>
        <w:t>食品销售经营者</w:t>
      </w:r>
      <w:r>
        <w:rPr>
          <w:rFonts w:ascii="仿宋" w:hAnsi="仿宋" w:eastAsia="仿宋"/>
          <w:sz w:val="32"/>
          <w:szCs w:val="32"/>
        </w:rPr>
        <w:t>静态风险因素量化分值。</w:t>
      </w:r>
      <w:r>
        <w:rPr>
          <w:rFonts w:hint="eastAsia" w:ascii="仿宋" w:hAnsi="仿宋" w:eastAsia="仿宋"/>
          <w:sz w:val="32"/>
          <w:szCs w:val="32"/>
        </w:rPr>
        <w:t>食品经营许可档案内容不全的，可以要求食品销售经营者补充提供相关材料。静态风险因素量化分值为40分。</w:t>
      </w:r>
      <w:r>
        <w:rPr>
          <w:rFonts w:hint="eastAsia" w:ascii="仿宋" w:hAnsi="仿宋" w:eastAsia="仿宋"/>
          <w:b/>
          <w:sz w:val="32"/>
          <w:szCs w:val="32"/>
        </w:rPr>
        <w:t>（注：静态风险量化得分系统自动生成）</w:t>
      </w:r>
    </w:p>
    <w:p>
      <w:pPr>
        <w:ind w:firstLine="640" w:firstLineChars="200"/>
        <w:rPr>
          <w:rFonts w:hint="eastAsia" w:ascii="仿宋" w:hAnsi="仿宋" w:eastAsia="仿宋" w:cs="仿宋"/>
          <w:color w:val="000000"/>
          <w:sz w:val="32"/>
          <w:szCs w:val="32"/>
        </w:rPr>
      </w:pPr>
      <w:r>
        <w:rPr>
          <w:rFonts w:hint="eastAsia" w:ascii="仿宋" w:hAnsi="仿宋" w:eastAsia="仿宋"/>
          <w:sz w:val="32"/>
          <w:szCs w:val="32"/>
        </w:rPr>
        <w:t>2、评定</w:t>
      </w:r>
      <w:r>
        <w:rPr>
          <w:rFonts w:ascii="仿宋" w:hAnsi="仿宋" w:eastAsia="仿宋"/>
          <w:sz w:val="32"/>
          <w:szCs w:val="32"/>
        </w:rPr>
        <w:t>动态风险因素量化分值，</w:t>
      </w:r>
      <w:r>
        <w:rPr>
          <w:rFonts w:hint="eastAsia" w:ascii="仿宋" w:hAnsi="仿宋" w:eastAsia="仿宋" w:cs="仿宋"/>
          <w:color w:val="000000"/>
          <w:sz w:val="32"/>
          <w:szCs w:val="32"/>
        </w:rPr>
        <w:t>可以根据被评定经营者最近一次日常监督检查表的结果，在系统上进行录入评定或者组织人员到现场按照动态风险评价表进行打分评价确定。</w:t>
      </w:r>
    </w:p>
    <w:p>
      <w:pPr>
        <w:ind w:firstLine="640" w:firstLineChars="200"/>
        <w:rPr>
          <w:rFonts w:ascii="楷体" w:hAnsi="楷体" w:eastAsia="楷体" w:cs="楷体"/>
          <w:sz w:val="32"/>
          <w:szCs w:val="32"/>
        </w:rPr>
      </w:pPr>
      <w:r>
        <w:rPr>
          <w:rFonts w:hint="eastAsia" w:ascii="楷体" w:hAnsi="楷体" w:eastAsia="楷体" w:cs="楷体"/>
          <w:sz w:val="32"/>
          <w:szCs w:val="32"/>
        </w:rPr>
        <w:t>（四）等级划分</w:t>
      </w:r>
    </w:p>
    <w:p>
      <w:pPr>
        <w:ind w:firstLine="640" w:firstLineChars="200"/>
        <w:rPr>
          <w:rFonts w:ascii="仿宋" w:hAnsi="仿宋" w:eastAsia="仿宋"/>
          <w:sz w:val="32"/>
          <w:szCs w:val="32"/>
        </w:rPr>
      </w:pPr>
      <w:r>
        <w:rPr>
          <w:rFonts w:hint="eastAsia" w:ascii="仿宋" w:hAnsi="仿宋" w:eastAsia="仿宋" w:cs="仿宋"/>
          <w:color w:val="000000"/>
          <w:sz w:val="32"/>
          <w:szCs w:val="32"/>
        </w:rPr>
        <w:t>根据静态风险因素量化分值加上动态风险因素量化分值之和，确定食品销售经营者风险等级。（系统自动生成）</w:t>
      </w:r>
      <w:r>
        <w:rPr>
          <w:rFonts w:hint="eastAsia" w:ascii="仿宋" w:hAnsi="仿宋" w:eastAsia="仿宋"/>
          <w:sz w:val="32"/>
          <w:szCs w:val="32"/>
        </w:rPr>
        <w:t>风险等级从低到高划分为</w:t>
      </w:r>
      <w:r>
        <w:rPr>
          <w:rFonts w:ascii="仿宋" w:hAnsi="仿宋" w:eastAsia="仿宋"/>
          <w:sz w:val="32"/>
          <w:szCs w:val="32"/>
        </w:rPr>
        <w:t>A</w:t>
      </w:r>
      <w:r>
        <w:rPr>
          <w:rFonts w:hint="eastAsia" w:ascii="仿宋" w:hAnsi="仿宋" w:eastAsia="仿宋"/>
          <w:sz w:val="32"/>
          <w:szCs w:val="32"/>
        </w:rPr>
        <w:t>级风险、</w:t>
      </w:r>
      <w:r>
        <w:rPr>
          <w:rFonts w:ascii="仿宋" w:hAnsi="仿宋" w:eastAsia="仿宋"/>
          <w:sz w:val="32"/>
          <w:szCs w:val="32"/>
        </w:rPr>
        <w:t>B</w:t>
      </w:r>
      <w:r>
        <w:rPr>
          <w:rFonts w:hint="eastAsia" w:ascii="仿宋" w:hAnsi="仿宋" w:eastAsia="仿宋"/>
          <w:sz w:val="32"/>
          <w:szCs w:val="32"/>
        </w:rPr>
        <w:t>级风险、</w:t>
      </w:r>
      <w:r>
        <w:rPr>
          <w:rFonts w:ascii="仿宋" w:hAnsi="仿宋" w:eastAsia="仿宋"/>
          <w:sz w:val="32"/>
          <w:szCs w:val="32"/>
        </w:rPr>
        <w:t>C</w:t>
      </w:r>
      <w:r>
        <w:rPr>
          <w:rFonts w:hint="eastAsia" w:ascii="仿宋" w:hAnsi="仿宋" w:eastAsia="仿宋"/>
          <w:sz w:val="32"/>
          <w:szCs w:val="32"/>
        </w:rPr>
        <w:t>级风险、</w:t>
      </w:r>
      <w:r>
        <w:rPr>
          <w:rFonts w:ascii="仿宋" w:hAnsi="仿宋" w:eastAsia="仿宋"/>
          <w:sz w:val="32"/>
          <w:szCs w:val="32"/>
        </w:rPr>
        <w:t>D</w:t>
      </w:r>
      <w:r>
        <w:rPr>
          <w:rFonts w:hint="eastAsia" w:ascii="仿宋" w:hAnsi="仿宋" w:eastAsia="仿宋"/>
          <w:sz w:val="32"/>
          <w:szCs w:val="32"/>
        </w:rPr>
        <w:t>级风险四个等级。</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A</w:t>
      </w:r>
      <w:r>
        <w:rPr>
          <w:rFonts w:hint="eastAsia" w:ascii="仿宋" w:hAnsi="仿宋" w:eastAsia="仿宋"/>
          <w:sz w:val="32"/>
          <w:szCs w:val="32"/>
        </w:rPr>
        <w:t>级风险：风险等级得分为</w:t>
      </w:r>
      <w:r>
        <w:rPr>
          <w:rFonts w:ascii="仿宋" w:hAnsi="仿宋" w:eastAsia="仿宋"/>
          <w:sz w:val="32"/>
          <w:szCs w:val="32"/>
        </w:rPr>
        <w:t>0—30</w:t>
      </w:r>
      <w:r>
        <w:rPr>
          <w:rFonts w:hint="eastAsia" w:ascii="仿宋" w:hAnsi="仿宋" w:eastAsia="仿宋"/>
          <w:sz w:val="32"/>
          <w:szCs w:val="32"/>
        </w:rPr>
        <w:t>（含）分。</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B</w:t>
      </w:r>
      <w:r>
        <w:rPr>
          <w:rFonts w:hint="eastAsia" w:ascii="仿宋" w:hAnsi="仿宋" w:eastAsia="仿宋"/>
          <w:sz w:val="32"/>
          <w:szCs w:val="32"/>
        </w:rPr>
        <w:t>级风险：风险等级得分为</w:t>
      </w:r>
      <w:r>
        <w:rPr>
          <w:rFonts w:ascii="仿宋" w:hAnsi="仿宋" w:eastAsia="仿宋"/>
          <w:sz w:val="32"/>
          <w:szCs w:val="32"/>
        </w:rPr>
        <w:t>30—45</w:t>
      </w:r>
      <w:r>
        <w:rPr>
          <w:rFonts w:hint="eastAsia" w:ascii="仿宋" w:hAnsi="仿宋" w:eastAsia="仿宋"/>
          <w:sz w:val="32"/>
          <w:szCs w:val="32"/>
        </w:rPr>
        <w:t>（含）分。</w:t>
      </w:r>
    </w:p>
    <w:p>
      <w:pPr>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C级风险</w:t>
      </w:r>
      <w:r>
        <w:rPr>
          <w:rFonts w:hint="eastAsia" w:ascii="仿宋" w:hAnsi="仿宋" w:eastAsia="仿宋"/>
          <w:sz w:val="32"/>
          <w:szCs w:val="32"/>
        </w:rPr>
        <w:t>：风险等级得分为</w:t>
      </w:r>
      <w:r>
        <w:rPr>
          <w:rFonts w:ascii="仿宋" w:hAnsi="仿宋" w:eastAsia="仿宋"/>
          <w:sz w:val="32"/>
          <w:szCs w:val="32"/>
        </w:rPr>
        <w:t>45—60（含）分</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D级风险</w:t>
      </w:r>
      <w:r>
        <w:rPr>
          <w:rFonts w:hint="eastAsia" w:ascii="仿宋" w:hAnsi="仿宋" w:eastAsia="仿宋"/>
          <w:sz w:val="32"/>
          <w:szCs w:val="32"/>
        </w:rPr>
        <w:t>：风险等级得分为</w:t>
      </w:r>
      <w:r>
        <w:rPr>
          <w:rFonts w:ascii="仿宋" w:hAnsi="仿宋" w:eastAsia="仿宋"/>
          <w:sz w:val="32"/>
          <w:szCs w:val="32"/>
        </w:rPr>
        <w:t>60分以上</w:t>
      </w:r>
      <w:r>
        <w:rPr>
          <w:rFonts w:hint="eastAsia" w:ascii="仿宋" w:hAnsi="仿宋" w:eastAsia="仿宋"/>
          <w:sz w:val="32"/>
          <w:szCs w:val="32"/>
        </w:rPr>
        <w:t>。</w:t>
      </w:r>
    </w:p>
    <w:p>
      <w:pPr>
        <w:ind w:firstLine="640" w:firstLineChars="200"/>
        <w:rPr>
          <w:rFonts w:hint="eastAsia" w:ascii="仿宋" w:hAnsi="仿宋" w:eastAsia="仿宋" w:cs="仿宋_GB2312"/>
          <w:b/>
          <w:sz w:val="32"/>
          <w:szCs w:val="40"/>
        </w:rPr>
      </w:pPr>
      <w:r>
        <w:rPr>
          <w:rFonts w:hint="eastAsia" w:ascii="仿宋" w:hAnsi="仿宋" w:eastAsia="仿宋" w:cs="仿宋_GB2312"/>
          <w:sz w:val="32"/>
          <w:szCs w:val="40"/>
        </w:rPr>
        <w:t>食品经营许可证载明只销售特殊食品的食品销售经营者直接确定为</w:t>
      </w:r>
      <w:r>
        <w:rPr>
          <w:rFonts w:ascii="仿宋" w:hAnsi="仿宋" w:eastAsia="仿宋" w:cs="仿宋_GB2312"/>
          <w:sz w:val="32"/>
          <w:szCs w:val="40"/>
        </w:rPr>
        <w:t>B级</w:t>
      </w:r>
      <w:r>
        <w:rPr>
          <w:rFonts w:hint="eastAsia" w:ascii="仿宋" w:hAnsi="仿宋" w:eastAsia="仿宋" w:cs="仿宋_GB2312"/>
          <w:sz w:val="32"/>
          <w:szCs w:val="40"/>
        </w:rPr>
        <w:t>。</w:t>
      </w:r>
      <w:r>
        <w:rPr>
          <w:rFonts w:hint="eastAsia" w:ascii="仿宋" w:hAnsi="仿宋" w:eastAsia="仿宋" w:cs="仿宋_GB2312"/>
          <w:b/>
          <w:sz w:val="32"/>
          <w:szCs w:val="40"/>
        </w:rPr>
        <w:t>（注：各街镇学校及校园周边食品销售经营者原已录入省局监管系统直接确定为</w:t>
      </w:r>
      <w:r>
        <w:rPr>
          <w:rFonts w:ascii="仿宋" w:hAnsi="仿宋" w:eastAsia="仿宋" w:cs="仿宋_GB2312"/>
          <w:b/>
          <w:sz w:val="32"/>
          <w:szCs w:val="40"/>
        </w:rPr>
        <w:t>D</w:t>
      </w:r>
      <w:r>
        <w:rPr>
          <w:rFonts w:hint="eastAsia" w:ascii="仿宋" w:hAnsi="仿宋" w:eastAsia="仿宋" w:cs="仿宋_GB2312"/>
          <w:b/>
          <w:sz w:val="32"/>
          <w:szCs w:val="40"/>
        </w:rPr>
        <w:t>级的，不再录入，由市局直接进行数据导入，自动生成。）</w:t>
      </w:r>
    </w:p>
    <w:p>
      <w:pPr>
        <w:ind w:firstLine="640" w:firstLineChars="200"/>
        <w:rPr>
          <w:rFonts w:ascii="仿宋" w:hAnsi="仿宋" w:eastAsia="仿宋" w:cs="仿宋_GB2312"/>
          <w:sz w:val="32"/>
          <w:szCs w:val="40"/>
        </w:rPr>
      </w:pPr>
      <w:r>
        <w:rPr>
          <w:rFonts w:hint="eastAsia" w:ascii="楷体" w:hAnsi="楷体" w:eastAsia="楷体" w:cs="楷体"/>
          <w:sz w:val="32"/>
          <w:szCs w:val="32"/>
        </w:rPr>
        <w:t>（五）结果应用</w:t>
      </w:r>
    </w:p>
    <w:p>
      <w:pPr>
        <w:rPr>
          <w:rFonts w:ascii="仿宋" w:hAnsi="仿宋" w:eastAsia="仿宋" w:cs="楷体"/>
          <w:sz w:val="32"/>
          <w:szCs w:val="32"/>
        </w:rPr>
      </w:pPr>
      <w:r>
        <w:rPr>
          <w:rFonts w:hint="eastAsia" w:ascii="楷体" w:hAnsi="楷体" w:eastAsia="楷体" w:cs="楷体"/>
          <w:sz w:val="32"/>
          <w:szCs w:val="32"/>
        </w:rPr>
        <w:t xml:space="preserve">     </w:t>
      </w:r>
      <w:r>
        <w:rPr>
          <w:rFonts w:hint="eastAsia" w:ascii="仿宋" w:hAnsi="仿宋" w:eastAsia="仿宋" w:cs="仿宋"/>
          <w:sz w:val="32"/>
          <w:szCs w:val="32"/>
        </w:rPr>
        <w:t>风险等级是确定食品销售经营者食品安全监管方式的参考依据。各区县局</w:t>
      </w:r>
      <w:r>
        <w:rPr>
          <w:rFonts w:hint="eastAsia" w:ascii="仿宋" w:hAnsi="仿宋" w:eastAsia="仿宋" w:cs="宋体"/>
          <w:kern w:val="0"/>
          <w:sz w:val="32"/>
          <w:szCs w:val="32"/>
        </w:rPr>
        <w:t>应根据风险分级结果，合理配置监管资源和监管力量，合法高效开展抽样检验、监督检查等工作。</w:t>
      </w:r>
    </w:p>
    <w:p>
      <w:pPr>
        <w:numPr>
          <w:ilvl w:val="0"/>
          <w:numId w:val="1"/>
        </w:numPr>
        <w:ind w:firstLine="640" w:firstLineChars="200"/>
        <w:rPr>
          <w:rFonts w:ascii="仿宋" w:hAnsi="仿宋" w:eastAsia="仿宋"/>
          <w:sz w:val="32"/>
          <w:szCs w:val="32"/>
        </w:rPr>
      </w:pPr>
      <w:r>
        <w:rPr>
          <w:rFonts w:ascii="仿宋" w:hAnsi="仿宋" w:eastAsia="仿宋"/>
          <w:sz w:val="32"/>
          <w:szCs w:val="32"/>
        </w:rPr>
        <w:t>A</w:t>
      </w:r>
      <w:r>
        <w:rPr>
          <w:rFonts w:hint="eastAsia" w:ascii="仿宋" w:hAnsi="仿宋" w:eastAsia="仿宋"/>
          <w:sz w:val="32"/>
          <w:szCs w:val="32"/>
        </w:rPr>
        <w:t>级、</w:t>
      </w:r>
      <w:r>
        <w:rPr>
          <w:rFonts w:ascii="仿宋" w:hAnsi="仿宋" w:eastAsia="仿宋"/>
          <w:sz w:val="32"/>
          <w:szCs w:val="32"/>
        </w:rPr>
        <w:t>B</w:t>
      </w:r>
      <w:r>
        <w:rPr>
          <w:rFonts w:hint="eastAsia" w:ascii="仿宋" w:hAnsi="仿宋" w:eastAsia="仿宋"/>
          <w:sz w:val="32"/>
          <w:szCs w:val="32"/>
        </w:rPr>
        <w:t>级风险：按照《市场监管总局关于全面推进“双随机、一公开”监管工作的通知》（国市监信</w:t>
      </w:r>
      <w:r>
        <w:rPr>
          <w:rFonts w:hint="eastAsia" w:ascii="仿宋" w:hAnsi="仿宋" w:eastAsia="仿宋" w:cs="仿宋"/>
          <w:sz w:val="32"/>
          <w:szCs w:val="32"/>
        </w:rPr>
        <w:t>〔2019〕38号</w:t>
      </w:r>
      <w:r>
        <w:rPr>
          <w:rFonts w:hint="eastAsia" w:ascii="仿宋" w:hAnsi="仿宋" w:eastAsia="仿宋"/>
          <w:sz w:val="32"/>
          <w:szCs w:val="32"/>
        </w:rPr>
        <w:t>）的要求，根据年度抽查工作计划确定的比例进行抽查；</w:t>
      </w:r>
    </w:p>
    <w:p>
      <w:pPr>
        <w:numPr>
          <w:ilvl w:val="0"/>
          <w:numId w:val="1"/>
        </w:numPr>
        <w:ind w:firstLine="640" w:firstLineChars="200"/>
        <w:rPr>
          <w:rFonts w:ascii="仿宋" w:hAnsi="仿宋" w:eastAsia="仿宋"/>
          <w:sz w:val="32"/>
          <w:szCs w:val="32"/>
        </w:rPr>
      </w:pPr>
      <w:r>
        <w:rPr>
          <w:rFonts w:ascii="仿宋" w:hAnsi="仿宋" w:eastAsia="仿宋"/>
          <w:sz w:val="32"/>
          <w:szCs w:val="32"/>
        </w:rPr>
        <w:t>C级风险</w:t>
      </w:r>
      <w:r>
        <w:rPr>
          <w:rFonts w:hint="eastAsia" w:ascii="仿宋" w:hAnsi="仿宋" w:eastAsia="仿宋"/>
          <w:sz w:val="32"/>
          <w:szCs w:val="32"/>
        </w:rPr>
        <w:t>：原则上每年监督检查不少于1次；</w:t>
      </w:r>
    </w:p>
    <w:p>
      <w:pPr>
        <w:numPr>
          <w:ilvl w:val="0"/>
          <w:numId w:val="1"/>
        </w:numPr>
        <w:ind w:firstLine="640" w:firstLineChars="200"/>
        <w:rPr>
          <w:rFonts w:ascii="仿宋" w:hAnsi="仿宋" w:eastAsia="仿宋"/>
          <w:sz w:val="32"/>
          <w:szCs w:val="32"/>
        </w:rPr>
      </w:pPr>
      <w:r>
        <w:rPr>
          <w:rFonts w:ascii="仿宋" w:hAnsi="仿宋" w:eastAsia="仿宋"/>
          <w:sz w:val="32"/>
          <w:szCs w:val="32"/>
        </w:rPr>
        <w:t>D级风险</w:t>
      </w:r>
      <w:r>
        <w:rPr>
          <w:rFonts w:hint="eastAsia" w:ascii="仿宋" w:hAnsi="仿宋" w:eastAsia="仿宋"/>
          <w:sz w:val="32"/>
          <w:szCs w:val="32"/>
        </w:rPr>
        <w:t>：原则上每年监督检查不少于2次。</w:t>
      </w:r>
    </w:p>
    <w:p>
      <w:pPr>
        <w:ind w:firstLine="640" w:firstLineChars="200"/>
        <w:rPr>
          <w:rFonts w:ascii="楷体" w:hAnsi="楷体" w:eastAsia="楷体" w:cs="楷体"/>
          <w:sz w:val="32"/>
          <w:szCs w:val="32"/>
        </w:rPr>
      </w:pPr>
      <w:r>
        <w:rPr>
          <w:rFonts w:hint="eastAsia" w:ascii="楷体" w:hAnsi="楷体" w:eastAsia="楷体" w:cs="楷体"/>
          <w:sz w:val="32"/>
          <w:szCs w:val="32"/>
        </w:rPr>
        <w:t>（六）评定期限</w:t>
      </w:r>
    </w:p>
    <w:p>
      <w:pPr>
        <w:ind w:firstLine="640" w:firstLineChars="200"/>
        <w:rPr>
          <w:rFonts w:ascii="仿宋" w:hAnsi="仿宋" w:eastAsia="仿宋" w:cs="仿宋"/>
          <w:sz w:val="32"/>
          <w:szCs w:val="32"/>
        </w:rPr>
      </w:pPr>
      <w:r>
        <w:rPr>
          <w:rFonts w:hint="eastAsia" w:ascii="仿宋" w:hAnsi="仿宋" w:eastAsia="仿宋" w:cs="仿宋"/>
          <w:sz w:val="32"/>
          <w:szCs w:val="32"/>
        </w:rPr>
        <w:t>风险等级评定结果的应用周期原则上为一个自然年度。各所可在12个月后，根据上一年度的监督检查、监督抽检、违法行为查处、食品安全事故应对、不安全食品召回等食品安全监督管理情况对下一年度风险等级进行动态调整。评定周期内，各所也可以根据监管实际对食品销售经营者的最终风险等级再次进行调整。</w:t>
      </w:r>
    </w:p>
    <w:p>
      <w:pPr>
        <w:ind w:firstLine="640" w:firstLineChars="200"/>
        <w:rPr>
          <w:rFonts w:ascii="仿宋" w:hAnsi="仿宋" w:eastAsia="仿宋" w:cs="仿宋"/>
          <w:sz w:val="32"/>
          <w:szCs w:val="32"/>
        </w:rPr>
      </w:pPr>
      <w:r>
        <w:rPr>
          <w:rFonts w:hint="eastAsia" w:ascii="楷体" w:hAnsi="楷体" w:eastAsia="楷体" w:cs="楷体"/>
          <w:sz w:val="32"/>
          <w:szCs w:val="32"/>
        </w:rPr>
        <w:t xml:space="preserve"> </w:t>
      </w:r>
      <w:r>
        <w:rPr>
          <w:rFonts w:hint="eastAsia" w:ascii="仿宋" w:hAnsi="仿宋" w:eastAsia="仿宋" w:cs="仿宋"/>
          <w:sz w:val="32"/>
          <w:szCs w:val="32"/>
        </w:rPr>
        <w:t>新开办食品销售经营者，应在作出许可决定之日起30个工作日内组织监管人员进入现场打分评定动态风险，根据实际确定首次风险等级</w:t>
      </w:r>
    </w:p>
    <w:p>
      <w:pPr>
        <w:ind w:firstLine="640" w:firstLineChars="200"/>
        <w:rPr>
          <w:rFonts w:ascii="楷体" w:hAnsi="楷体" w:eastAsia="楷体" w:cs="楷体"/>
          <w:sz w:val="32"/>
          <w:szCs w:val="32"/>
        </w:rPr>
      </w:pPr>
      <w:r>
        <w:rPr>
          <w:rFonts w:hint="eastAsia" w:ascii="楷体" w:hAnsi="楷体" w:eastAsia="楷体" w:cs="楷体"/>
          <w:sz w:val="32"/>
          <w:szCs w:val="32"/>
        </w:rPr>
        <w:t>（七）等级调整</w:t>
      </w:r>
    </w:p>
    <w:p>
      <w:pPr>
        <w:ind w:firstLine="640" w:firstLineChars="200"/>
        <w:rPr>
          <w:rFonts w:ascii="仿宋" w:hAnsi="仿宋" w:eastAsia="仿宋" w:cs="仿宋"/>
          <w:sz w:val="32"/>
          <w:szCs w:val="32"/>
        </w:rPr>
      </w:pPr>
      <w:r>
        <w:rPr>
          <w:rFonts w:hint="eastAsia" w:ascii="仿宋" w:hAnsi="仿宋" w:eastAsia="仿宋" w:cs="仿宋"/>
          <w:sz w:val="32"/>
          <w:szCs w:val="32"/>
        </w:rPr>
        <w:t>食品销售经营者遵守食品安全法律法规，无调高、调低情形的，风险等级可不作调整。</w:t>
      </w:r>
    </w:p>
    <w:p>
      <w:pPr>
        <w:ind w:firstLine="640" w:firstLineChars="200"/>
        <w:rPr>
          <w:rFonts w:ascii="仿宋" w:hAnsi="仿宋" w:eastAsia="仿宋" w:cs="仿宋"/>
          <w:sz w:val="32"/>
          <w:szCs w:val="32"/>
        </w:rPr>
      </w:pPr>
      <w:r>
        <w:rPr>
          <w:rFonts w:hint="eastAsia" w:ascii="仿宋" w:hAnsi="仿宋" w:eastAsia="仿宋" w:cs="仿宋"/>
          <w:sz w:val="32"/>
          <w:szCs w:val="32"/>
        </w:rPr>
        <w:t>1、存在下列情形之一的，下一年度风险等级可视情况调高一个或者两个等级：</w:t>
      </w:r>
    </w:p>
    <w:p>
      <w:pPr>
        <w:ind w:firstLine="640" w:firstLineChars="200"/>
        <w:rPr>
          <w:rFonts w:ascii="仿宋" w:hAnsi="仿宋" w:eastAsia="仿宋" w:cs="仿宋"/>
          <w:sz w:val="32"/>
          <w:szCs w:val="32"/>
        </w:rPr>
      </w:pPr>
      <w:r>
        <w:rPr>
          <w:rFonts w:hint="eastAsia" w:ascii="仿宋" w:hAnsi="仿宋" w:eastAsia="仿宋" w:cs="仿宋"/>
          <w:sz w:val="32"/>
          <w:szCs w:val="32"/>
        </w:rPr>
        <w:t>（1）违反食品安全法律法规受到行政处罚的；</w:t>
      </w:r>
    </w:p>
    <w:p>
      <w:pPr>
        <w:ind w:firstLine="640" w:firstLineChars="200"/>
        <w:rPr>
          <w:rFonts w:ascii="仿宋" w:hAnsi="仿宋" w:eastAsia="仿宋" w:cs="仿宋"/>
          <w:sz w:val="32"/>
          <w:szCs w:val="32"/>
        </w:rPr>
      </w:pPr>
      <w:r>
        <w:rPr>
          <w:rFonts w:hint="eastAsia" w:ascii="仿宋" w:hAnsi="仿宋" w:eastAsia="仿宋" w:cs="仿宋"/>
          <w:sz w:val="32"/>
          <w:szCs w:val="32"/>
        </w:rPr>
        <w:t>（2）有1次及以上监督抽检不符合食品安全标准，且经查证未落实相关责任义务的；</w:t>
      </w:r>
    </w:p>
    <w:p>
      <w:pPr>
        <w:ind w:firstLine="640" w:firstLineChars="200"/>
        <w:rPr>
          <w:rFonts w:ascii="仿宋" w:hAnsi="仿宋" w:eastAsia="仿宋" w:cs="仿宋"/>
          <w:sz w:val="32"/>
          <w:szCs w:val="32"/>
        </w:rPr>
      </w:pPr>
      <w:r>
        <w:rPr>
          <w:rFonts w:hint="eastAsia" w:ascii="仿宋" w:hAnsi="仿宋" w:eastAsia="仿宋" w:cs="仿宋"/>
          <w:sz w:val="32"/>
          <w:szCs w:val="32"/>
        </w:rPr>
        <w:t>（3）违反食品安全法律法规造成不良社会影响的；</w:t>
      </w:r>
    </w:p>
    <w:p>
      <w:pPr>
        <w:ind w:firstLine="640" w:firstLineChars="200"/>
        <w:rPr>
          <w:rFonts w:ascii="仿宋" w:hAnsi="仿宋" w:eastAsia="仿宋" w:cs="仿宋"/>
          <w:sz w:val="32"/>
          <w:szCs w:val="32"/>
        </w:rPr>
      </w:pPr>
      <w:r>
        <w:rPr>
          <w:rFonts w:hint="eastAsia" w:ascii="仿宋" w:hAnsi="仿宋" w:eastAsia="仿宋" w:cs="仿宋"/>
          <w:sz w:val="32"/>
          <w:szCs w:val="32"/>
        </w:rPr>
        <w:t>（4）发生食品安全事故的；</w:t>
      </w:r>
    </w:p>
    <w:p>
      <w:pPr>
        <w:ind w:firstLine="640" w:firstLineChars="200"/>
        <w:rPr>
          <w:rFonts w:ascii="仿宋" w:hAnsi="仿宋" w:eastAsia="仿宋" w:cs="仿宋"/>
          <w:sz w:val="32"/>
          <w:szCs w:val="32"/>
        </w:rPr>
      </w:pPr>
      <w:r>
        <w:rPr>
          <w:rFonts w:hint="eastAsia" w:ascii="仿宋" w:hAnsi="仿宋" w:eastAsia="仿宋" w:cs="仿宋"/>
          <w:sz w:val="32"/>
          <w:szCs w:val="32"/>
        </w:rPr>
        <w:t>（5）不按规定进行产品召回或者停止生产经营的；</w:t>
      </w:r>
    </w:p>
    <w:p>
      <w:pPr>
        <w:ind w:firstLine="640" w:firstLineChars="200"/>
        <w:rPr>
          <w:rFonts w:ascii="仿宋" w:hAnsi="仿宋" w:eastAsia="仿宋" w:cs="仿宋"/>
          <w:sz w:val="32"/>
          <w:szCs w:val="32"/>
        </w:rPr>
      </w:pPr>
      <w:r>
        <w:rPr>
          <w:rFonts w:hint="eastAsia" w:ascii="仿宋" w:hAnsi="仿宋" w:eastAsia="仿宋" w:cs="仿宋"/>
          <w:sz w:val="32"/>
          <w:szCs w:val="32"/>
        </w:rPr>
        <w:t>（6）拒绝、逃避、阻挠执法人员进行监督检查，或者拒不配合执法人员依法进行案件调查的；</w:t>
      </w:r>
    </w:p>
    <w:p>
      <w:pPr>
        <w:ind w:firstLine="640" w:firstLineChars="200"/>
        <w:rPr>
          <w:rFonts w:ascii="仿宋" w:hAnsi="仿宋" w:eastAsia="仿宋" w:cs="仿宋"/>
          <w:sz w:val="32"/>
          <w:szCs w:val="32"/>
        </w:rPr>
      </w:pPr>
      <w:r>
        <w:rPr>
          <w:rFonts w:hint="eastAsia" w:ascii="仿宋" w:hAnsi="仿宋" w:eastAsia="仿宋" w:cs="仿宋"/>
          <w:sz w:val="32"/>
          <w:szCs w:val="32"/>
        </w:rPr>
        <w:t>（7）具有法律、法规、规章和省（市、区）市场监管局规定的其他可以上调风险等级的情形。</w:t>
      </w:r>
    </w:p>
    <w:p>
      <w:pPr>
        <w:ind w:firstLine="640" w:firstLineChars="200"/>
        <w:rPr>
          <w:rFonts w:ascii="仿宋" w:hAnsi="仿宋" w:eastAsia="仿宋" w:cs="仿宋"/>
          <w:sz w:val="32"/>
          <w:szCs w:val="32"/>
        </w:rPr>
      </w:pPr>
      <w:r>
        <w:rPr>
          <w:rFonts w:hint="eastAsia" w:ascii="仿宋" w:hAnsi="仿宋" w:eastAsia="仿宋" w:cs="仿宋"/>
          <w:sz w:val="32"/>
          <w:szCs w:val="32"/>
        </w:rPr>
        <w:t>2、存在下列情形之一的，下一年度风险等级可以调低一个等级：</w:t>
      </w:r>
    </w:p>
    <w:p>
      <w:pPr>
        <w:ind w:firstLine="640" w:firstLineChars="200"/>
        <w:rPr>
          <w:rFonts w:ascii="仿宋" w:hAnsi="仿宋" w:eastAsia="仿宋" w:cs="仿宋"/>
          <w:sz w:val="32"/>
          <w:szCs w:val="32"/>
        </w:rPr>
      </w:pPr>
      <w:r>
        <w:rPr>
          <w:rFonts w:hint="eastAsia" w:ascii="仿宋" w:hAnsi="仿宋" w:eastAsia="仿宋" w:cs="仿宋"/>
          <w:sz w:val="32"/>
          <w:szCs w:val="32"/>
        </w:rPr>
        <w:t>（1）连续3年没有违反可调高风险等级情形的；</w:t>
      </w:r>
    </w:p>
    <w:p>
      <w:pPr>
        <w:ind w:firstLine="640" w:firstLineChars="200"/>
        <w:rPr>
          <w:rFonts w:ascii="仿宋" w:hAnsi="仿宋" w:eastAsia="仿宋" w:cs="仿宋"/>
          <w:sz w:val="32"/>
          <w:szCs w:val="32"/>
        </w:rPr>
      </w:pPr>
      <w:r>
        <w:rPr>
          <w:rFonts w:hint="eastAsia" w:ascii="仿宋" w:hAnsi="仿宋" w:eastAsia="仿宋" w:cs="仿宋"/>
          <w:sz w:val="32"/>
          <w:szCs w:val="32"/>
        </w:rPr>
        <w:t>（2）获得危害分析与关键控制点体系、食品安全管理体系、食品防护计划等质量管理规范认证的；</w:t>
      </w:r>
    </w:p>
    <w:p>
      <w:pPr>
        <w:ind w:firstLine="640" w:firstLineChars="200"/>
        <w:rPr>
          <w:rFonts w:ascii="仿宋" w:hAnsi="仿宋" w:eastAsia="仿宋" w:cs="仿宋"/>
          <w:sz w:val="32"/>
          <w:szCs w:val="32"/>
        </w:rPr>
      </w:pPr>
      <w:r>
        <w:rPr>
          <w:rFonts w:hint="eastAsia" w:ascii="仿宋" w:hAnsi="仿宋" w:eastAsia="仿宋" w:cs="仿宋"/>
          <w:sz w:val="32"/>
          <w:szCs w:val="32"/>
        </w:rPr>
        <w:t>（3）获得“放心肉菜示范超市”、“食安山东”、“食安济南”等示范称号的；</w:t>
      </w:r>
    </w:p>
    <w:p>
      <w:pPr>
        <w:ind w:firstLine="640" w:firstLineChars="200"/>
        <w:rPr>
          <w:rFonts w:ascii="仿宋" w:hAnsi="仿宋" w:eastAsia="仿宋" w:cs="仿宋"/>
          <w:sz w:val="32"/>
          <w:szCs w:val="32"/>
        </w:rPr>
      </w:pPr>
      <w:r>
        <w:rPr>
          <w:rFonts w:hint="eastAsia" w:ascii="仿宋" w:hAnsi="仿宋" w:eastAsia="仿宋" w:cs="仿宋"/>
          <w:sz w:val="32"/>
          <w:szCs w:val="32"/>
        </w:rPr>
        <w:t>（4）获得地市级以上人民政府质量奖的；</w:t>
      </w:r>
    </w:p>
    <w:p>
      <w:pPr>
        <w:ind w:firstLine="640" w:firstLineChars="200"/>
        <w:rPr>
          <w:rFonts w:ascii="仿宋" w:hAnsi="仿宋" w:eastAsia="仿宋" w:cs="仿宋"/>
          <w:sz w:val="32"/>
          <w:szCs w:val="32"/>
        </w:rPr>
      </w:pPr>
      <w:r>
        <w:rPr>
          <w:rFonts w:hint="eastAsia" w:ascii="仿宋" w:hAnsi="仿宋" w:eastAsia="仿宋" w:cs="仿宋"/>
          <w:sz w:val="32"/>
          <w:szCs w:val="32"/>
        </w:rPr>
        <w:t>（5）具有法律、法规、规章和省（市、区）市场监管局定的其他可以下调风险等级的情形。</w:t>
      </w:r>
    </w:p>
    <w:p>
      <w:pPr>
        <w:ind w:firstLine="640" w:firstLineChars="200"/>
        <w:rPr>
          <w:rFonts w:ascii="楷体" w:hAnsi="楷体" w:eastAsia="楷体" w:cs="楷体"/>
          <w:sz w:val="32"/>
          <w:szCs w:val="32"/>
        </w:rPr>
      </w:pPr>
      <w:r>
        <w:rPr>
          <w:rFonts w:hint="eastAsia" w:ascii="楷体" w:hAnsi="楷体" w:eastAsia="楷体" w:cs="楷体"/>
          <w:sz w:val="32"/>
          <w:szCs w:val="32"/>
        </w:rPr>
        <w:t>（八）职责分工</w:t>
      </w:r>
    </w:p>
    <w:p>
      <w:pPr>
        <w:ind w:firstLine="640" w:firstLineChars="200"/>
        <w:rPr>
          <w:rFonts w:ascii="仿宋" w:hAnsi="仿宋" w:eastAsia="仿宋"/>
          <w:sz w:val="32"/>
          <w:szCs w:val="32"/>
        </w:rPr>
      </w:pPr>
      <w:r>
        <w:rPr>
          <w:rFonts w:hint="eastAsia" w:ascii="仿宋" w:hAnsi="仿宋" w:eastAsia="仿宋" w:cs="仿宋"/>
          <w:bCs/>
          <w:color w:val="333333"/>
          <w:sz w:val="32"/>
          <w:szCs w:val="32"/>
        </w:rPr>
        <w:t>各市场监管所</w:t>
      </w:r>
      <w:r>
        <w:rPr>
          <w:rFonts w:hint="eastAsia" w:ascii="仿宋" w:hAnsi="仿宋" w:eastAsia="仿宋"/>
          <w:sz w:val="32"/>
          <w:szCs w:val="32"/>
        </w:rPr>
        <w:t>负责开展本辖区内食品销售经营者风险分级管理的具体实施工作。负责新开办、已开办食品销售经营者的动态风险评定、风险等级确定、风险等级调整等。（已开办和新开办食品销售经营者静态风险评定有市局、行政审批局完成）</w:t>
      </w:r>
    </w:p>
    <w:p>
      <w:pPr>
        <w:ind w:firstLine="643" w:firstLineChars="200"/>
        <w:rPr>
          <w:rFonts w:cs="黑体" w:asciiTheme="minorEastAsia" w:hAnsiTheme="minorEastAsia"/>
          <w:b/>
          <w:sz w:val="32"/>
          <w:szCs w:val="32"/>
        </w:rPr>
      </w:pPr>
      <w:r>
        <w:rPr>
          <w:rFonts w:hint="eastAsia" w:cs="黑体" w:asciiTheme="minorEastAsia" w:hAnsiTheme="minorEastAsia"/>
          <w:b/>
          <w:sz w:val="32"/>
          <w:szCs w:val="32"/>
        </w:rPr>
        <w:t>四、工作要求</w:t>
      </w:r>
    </w:p>
    <w:p>
      <w:pPr>
        <w:ind w:firstLine="640" w:firstLineChars="200"/>
        <w:rPr>
          <w:rFonts w:ascii="仿宋" w:hAnsi="仿宋" w:eastAsia="仿宋" w:cs="仿宋"/>
          <w:sz w:val="32"/>
          <w:szCs w:val="32"/>
        </w:rPr>
      </w:pPr>
      <w:r>
        <w:rPr>
          <w:rFonts w:hint="eastAsia" w:ascii="楷体" w:hAnsi="楷体" w:eastAsia="楷体" w:cs="楷体"/>
          <w:sz w:val="32"/>
          <w:szCs w:val="32"/>
        </w:rPr>
        <w:t>（一）加强组织领导。</w:t>
      </w:r>
      <w:r>
        <w:rPr>
          <w:rFonts w:hint="eastAsia" w:ascii="仿宋" w:hAnsi="仿宋" w:eastAsia="仿宋" w:cs="仿宋"/>
          <w:sz w:val="32"/>
          <w:szCs w:val="32"/>
        </w:rPr>
        <w:t>各市场监管所要充分认识风险分级管理工作的重要性，明确工作目标和进度安排，切实抓实抓细抓好。</w:t>
      </w:r>
    </w:p>
    <w:p>
      <w:pPr>
        <w:ind w:firstLine="640" w:firstLineChars="200"/>
        <w:rPr>
          <w:rFonts w:ascii="仿宋" w:hAnsi="仿宋" w:eastAsia="仿宋" w:cs="仿宋"/>
          <w:sz w:val="32"/>
          <w:szCs w:val="32"/>
        </w:rPr>
      </w:pPr>
      <w:r>
        <w:rPr>
          <w:rFonts w:hint="eastAsia" w:ascii="楷体" w:hAnsi="楷体" w:eastAsia="楷体" w:cs="楷体"/>
          <w:sz w:val="32"/>
          <w:szCs w:val="32"/>
        </w:rPr>
        <w:t>（二）加强录入指导。</w:t>
      </w:r>
      <w:r>
        <w:rPr>
          <w:rFonts w:hint="eastAsia" w:ascii="仿宋" w:hAnsi="仿宋" w:eastAsia="仿宋" w:cs="仿宋"/>
          <w:sz w:val="32"/>
          <w:szCs w:val="32"/>
        </w:rPr>
        <w:t>区局流通科将积极配合指导各所分级评定工作，确保评定工作规范、统一， 6月底前按期完成工作任务。</w:t>
      </w:r>
    </w:p>
    <w:p>
      <w:pPr>
        <w:ind w:firstLine="640" w:firstLineChars="200"/>
        <w:rPr>
          <w:rFonts w:ascii="仿宋" w:hAnsi="仿宋" w:eastAsia="仿宋" w:cs="仿宋"/>
          <w:sz w:val="32"/>
          <w:szCs w:val="32"/>
        </w:rPr>
      </w:pPr>
      <w:r>
        <w:rPr>
          <w:rFonts w:hint="eastAsia" w:ascii="楷体" w:hAnsi="楷体" w:eastAsia="楷体" w:cs="楷体"/>
          <w:sz w:val="32"/>
          <w:szCs w:val="32"/>
        </w:rPr>
        <w:t>（三）提升监管效能。</w:t>
      </w:r>
      <w:r>
        <w:rPr>
          <w:rFonts w:hint="eastAsia" w:ascii="仿宋" w:hAnsi="仿宋" w:eastAsia="仿宋" w:cs="仿宋"/>
          <w:sz w:val="32"/>
          <w:szCs w:val="32"/>
        </w:rPr>
        <w:t>下一步要将食品销售经营者风险等级评定与日常监督检查相结合、与“双随机、一公开”检查相结合、与推进“互联网+监管”相结合，加快推进风险分级动态管理，提升监管效能。</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pPr>
        <w:spacing w:line="600" w:lineRule="exact"/>
        <w:ind w:firstLine="640" w:firstLineChars="200"/>
        <w:rPr>
          <w:rFonts w:hint="eastAsia" w:ascii="仿宋" w:hAnsi="仿宋" w:eastAsia="仿宋" w:cs="仿宋"/>
          <w:sz w:val="32"/>
          <w:szCs w:val="32"/>
        </w:rPr>
      </w:pPr>
    </w:p>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1.各所辖区应录入食品销售经营者数据汇总；</w:t>
      </w:r>
      <w:r>
        <w:rPr>
          <w:rFonts w:ascii="仿宋_GB2312" w:hAnsi="仿宋_GB2312" w:eastAsia="仿宋_GB2312" w:cs="仿宋_GB2312"/>
          <w:sz w:val="28"/>
          <w:szCs w:val="28"/>
        </w:rPr>
        <w:t xml:space="preserve"> </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2.无需录入的校园周边食品经营者名单；</w:t>
      </w:r>
    </w:p>
    <w:p>
      <w:pPr>
        <w:spacing w:line="440" w:lineRule="exact"/>
        <w:ind w:firstLine="560" w:firstLineChars="200"/>
        <w:rPr>
          <w:rFonts w:hint="eastAsia" w:ascii="仿宋" w:hAnsi="仿宋" w:eastAsia="仿宋" w:cs="仿宋"/>
          <w:sz w:val="28"/>
          <w:szCs w:val="28"/>
        </w:rPr>
      </w:pPr>
      <w:r>
        <w:rPr>
          <w:rFonts w:hint="eastAsia" w:ascii="仿宋_GB2312" w:hAnsi="仿宋_GB2312" w:eastAsia="仿宋_GB2312" w:cs="仿宋_GB2312"/>
          <w:sz w:val="28"/>
          <w:szCs w:val="28"/>
        </w:rPr>
        <w:t>3.</w:t>
      </w:r>
      <w:r>
        <w:rPr>
          <w:rFonts w:hint="eastAsia" w:ascii="仿宋" w:hAnsi="仿宋" w:eastAsia="仿宋" w:cs="仿宋"/>
          <w:sz w:val="28"/>
          <w:szCs w:val="28"/>
        </w:rPr>
        <w:t xml:space="preserve">《济南市食品销售风险分级管理工作实施方案（征求意见稿）》； </w:t>
      </w:r>
    </w:p>
    <w:p>
      <w:pPr>
        <w:spacing w:before="120" w:after="12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sz w:val="28"/>
          <w:szCs w:val="28"/>
        </w:rPr>
        <w:t>用户操作手册</w:t>
      </w:r>
      <w:r>
        <w:rPr>
          <w:rFonts w:hint="eastAsia" w:ascii="仿宋" w:hAnsi="仿宋" w:eastAsia="仿宋" w:cs="仿宋"/>
          <w:sz w:val="28"/>
          <w:szCs w:val="28"/>
        </w:rPr>
        <w:t>》；</w:t>
      </w:r>
    </w:p>
    <w:p>
      <w:pPr>
        <w:spacing w:before="120" w:after="120" w:line="440" w:lineRule="exact"/>
        <w:ind w:firstLine="560" w:firstLineChars="200"/>
        <w:rPr>
          <w:rFonts w:ascii="仿宋" w:hAnsi="仿宋" w:eastAsia="仿宋"/>
          <w:sz w:val="28"/>
          <w:szCs w:val="28"/>
        </w:rPr>
      </w:pPr>
      <w:r>
        <w:rPr>
          <w:rFonts w:hint="eastAsia" w:ascii="仿宋" w:hAnsi="仿宋" w:eastAsia="仿宋" w:cs="仿宋"/>
          <w:sz w:val="28"/>
          <w:szCs w:val="28"/>
        </w:rPr>
        <w:t>5、《</w:t>
      </w:r>
      <w:r>
        <w:rPr>
          <w:rFonts w:hint="eastAsia" w:ascii="仿宋" w:hAnsi="仿宋" w:eastAsia="仿宋"/>
          <w:bCs/>
          <w:color w:val="000000" w:themeColor="text1"/>
          <w:kern w:val="24"/>
          <w:sz w:val="28"/>
          <w:szCs w:val="28"/>
          <w14:textFill>
            <w14:solidFill>
              <w14:schemeClr w14:val="tx1"/>
            </w14:solidFill>
          </w14:textFill>
        </w:rPr>
        <w:t>食品销售风险分级工作安排</w:t>
      </w:r>
      <w:r>
        <w:rPr>
          <w:rFonts w:hint="eastAsia" w:ascii="仿宋" w:hAnsi="仿宋" w:eastAsia="仿宋" w:cs="仿宋"/>
          <w:sz w:val="28"/>
          <w:szCs w:val="28"/>
        </w:rPr>
        <w:t>》学习课件。</w:t>
      </w:r>
    </w:p>
    <w:p>
      <w:pPr>
        <w:spacing w:line="600" w:lineRule="exact"/>
        <w:ind w:firstLine="640" w:firstLineChars="200"/>
        <w:rPr>
          <w:rFonts w:hint="eastAsia" w:ascii="仿宋" w:hAnsi="仿宋" w:eastAsia="仿宋" w:cs="仿宋"/>
          <w:sz w:val="32"/>
          <w:szCs w:val="32"/>
        </w:rPr>
      </w:pPr>
    </w:p>
    <w:p>
      <w:pPr>
        <w:spacing w:line="600" w:lineRule="exact"/>
        <w:ind w:firstLine="640" w:firstLineChars="200"/>
        <w:rPr>
          <w:rFonts w:hint="eastAsia" w:ascii="仿宋" w:hAnsi="仿宋" w:eastAsia="仿宋" w:cs="仿宋"/>
          <w:sz w:val="32"/>
          <w:szCs w:val="32"/>
        </w:rPr>
      </w:pP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pPr>
        <w:spacing w:line="600" w:lineRule="exact"/>
        <w:ind w:firstLine="2880" w:firstLineChars="900"/>
        <w:rPr>
          <w:rFonts w:hint="eastAsia" w:ascii="仿宋" w:hAnsi="仿宋" w:eastAsia="仿宋" w:cs="仿宋"/>
          <w:sz w:val="32"/>
          <w:szCs w:val="32"/>
        </w:rPr>
      </w:pPr>
      <w:r>
        <w:rPr>
          <w:rFonts w:hint="eastAsia" w:ascii="仿宋" w:hAnsi="仿宋" w:eastAsia="仿宋" w:cs="仿宋"/>
          <w:sz w:val="32"/>
          <w:szCs w:val="32"/>
        </w:rPr>
        <w:t>长清区市场监督管理局食品流通科</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2020年4月1</w:t>
      </w:r>
      <w:r>
        <w:rPr>
          <w:rFonts w:hint="eastAsia" w:ascii="仿宋" w:hAnsi="仿宋" w:eastAsia="仿宋" w:cs="仿宋"/>
          <w:sz w:val="32"/>
          <w:szCs w:val="32"/>
        </w:rPr>
        <w:t>3</w:t>
      </w:r>
      <w:r>
        <w:rPr>
          <w:rFonts w:ascii="仿宋" w:hAnsi="仿宋" w:eastAsia="仿宋" w:cs="仿宋"/>
          <w:sz w:val="32"/>
          <w:szCs w:val="32"/>
        </w:rPr>
        <w:t>日</w:t>
      </w:r>
    </w:p>
    <w:p>
      <w:pPr>
        <w:spacing w:line="600" w:lineRule="exact"/>
        <w:ind w:firstLine="640" w:firstLineChars="200"/>
        <w:rPr>
          <w:rFonts w:hint="eastAsia" w:ascii="仿宋" w:hAnsi="仿宋" w:eastAsia="仿宋" w:cs="仿宋"/>
          <w:sz w:val="32"/>
          <w:szCs w:val="32"/>
        </w:rPr>
      </w:pPr>
    </w:p>
    <w:p>
      <w:pPr>
        <w:spacing w:line="600" w:lineRule="exact"/>
        <w:jc w:val="both"/>
        <w:rPr>
          <w:rFonts w:hint="default" w:ascii="仿宋" w:hAnsi="仿宋" w:eastAsia="仿宋" w:cs="仿宋"/>
          <w:sz w:val="32"/>
          <w:szCs w:val="32"/>
          <w:lang w:val="en-US" w:eastAsia="zh-CN"/>
        </w:rPr>
      </w:pPr>
      <w:bookmarkStart w:id="0" w:name="_GoBack"/>
      <w:bookmarkEnd w:id="0"/>
    </w:p>
    <w:p>
      <w:pPr>
        <w:spacing w:line="600" w:lineRule="exact"/>
        <w:ind w:firstLine="640" w:firstLineChars="200"/>
        <w:jc w:val="center"/>
        <w:rPr>
          <w:rFonts w:hint="default" w:ascii="仿宋" w:hAnsi="仿宋" w:eastAsia="仿宋" w:cs="仿宋"/>
          <w:sz w:val="32"/>
          <w:szCs w:val="32"/>
          <w:lang w:val="en-US" w:eastAsia="zh-CN"/>
        </w:rPr>
      </w:pPr>
    </w:p>
    <w:p>
      <w:pPr>
        <w:spacing w:line="600" w:lineRule="exact"/>
        <w:ind w:firstLine="640" w:firstLineChars="200"/>
        <w:jc w:val="center"/>
        <w:rPr>
          <w:rFonts w:hint="default" w:ascii="仿宋" w:hAnsi="仿宋" w:eastAsia="仿宋" w:cs="仿宋"/>
          <w:sz w:val="32"/>
          <w:szCs w:val="32"/>
          <w:lang w:val="en-US" w:eastAsia="zh-CN"/>
        </w:rPr>
      </w:pPr>
    </w:p>
    <w:p>
      <w:pPr>
        <w:spacing w:line="600" w:lineRule="exact"/>
        <w:ind w:firstLine="640" w:firstLineChars="200"/>
        <w:jc w:val="center"/>
        <w:rPr>
          <w:rFonts w:hint="default" w:ascii="仿宋" w:hAnsi="仿宋" w:eastAsia="仿宋" w:cs="仿宋"/>
          <w:sz w:val="32"/>
          <w:szCs w:val="32"/>
          <w:lang w:val="en-US" w:eastAsia="zh-CN"/>
        </w:rPr>
      </w:pPr>
    </w:p>
    <w:p>
      <w:pPr>
        <w:spacing w:line="600" w:lineRule="exact"/>
        <w:ind w:firstLine="640" w:firstLineChars="200"/>
        <w:jc w:val="center"/>
        <w:rPr>
          <w:rFonts w:hint="default" w:ascii="仿宋" w:hAnsi="仿宋" w:eastAsia="仿宋" w:cs="仿宋"/>
          <w:sz w:val="32"/>
          <w:szCs w:val="32"/>
          <w:lang w:val="en-US" w:eastAsia="zh-CN"/>
        </w:rPr>
      </w:pPr>
    </w:p>
    <w:p>
      <w:pPr>
        <w:spacing w:line="600" w:lineRule="exact"/>
        <w:ind w:firstLine="640" w:firstLineChars="200"/>
        <w:jc w:val="center"/>
        <w:rPr>
          <w:rFonts w:hint="default" w:ascii="仿宋" w:hAnsi="仿宋" w:eastAsia="仿宋" w:cs="仿宋"/>
          <w:sz w:val="32"/>
          <w:szCs w:val="32"/>
          <w:lang w:val="en-US" w:eastAsia="zh-CN"/>
        </w:rPr>
      </w:pPr>
    </w:p>
    <w:p>
      <w:pPr>
        <w:spacing w:line="600" w:lineRule="exact"/>
        <w:jc w:val="both"/>
        <w:rPr>
          <w:rFonts w:hint="eastAsia" w:ascii="仿宋" w:hAnsi="仿宋" w:eastAsia="仿宋" w:cs="仿宋"/>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1825073"/>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DBEE9D"/>
    <w:multiLevelType w:val="singleLevel"/>
    <w:tmpl w:val="90DBEE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D0386D"/>
    <w:rsid w:val="000206A7"/>
    <w:rsid w:val="001076C9"/>
    <w:rsid w:val="001604DA"/>
    <w:rsid w:val="002129AA"/>
    <w:rsid w:val="00246009"/>
    <w:rsid w:val="002F3424"/>
    <w:rsid w:val="00333290"/>
    <w:rsid w:val="00344304"/>
    <w:rsid w:val="003511C5"/>
    <w:rsid w:val="00386BDA"/>
    <w:rsid w:val="004244B5"/>
    <w:rsid w:val="00464274"/>
    <w:rsid w:val="004B4C50"/>
    <w:rsid w:val="004D6839"/>
    <w:rsid w:val="00506247"/>
    <w:rsid w:val="00533629"/>
    <w:rsid w:val="005C1E86"/>
    <w:rsid w:val="005C652D"/>
    <w:rsid w:val="00633BCE"/>
    <w:rsid w:val="00645CD8"/>
    <w:rsid w:val="006747E4"/>
    <w:rsid w:val="006A104E"/>
    <w:rsid w:val="006C011B"/>
    <w:rsid w:val="007126E3"/>
    <w:rsid w:val="007E13B1"/>
    <w:rsid w:val="008630EB"/>
    <w:rsid w:val="008E17D5"/>
    <w:rsid w:val="009029C9"/>
    <w:rsid w:val="009033F7"/>
    <w:rsid w:val="00AA289F"/>
    <w:rsid w:val="00AC1E08"/>
    <w:rsid w:val="00AE003F"/>
    <w:rsid w:val="00B14CFE"/>
    <w:rsid w:val="00B50428"/>
    <w:rsid w:val="00BA74A6"/>
    <w:rsid w:val="00C221C8"/>
    <w:rsid w:val="00C501F5"/>
    <w:rsid w:val="00C7108B"/>
    <w:rsid w:val="00CD60BE"/>
    <w:rsid w:val="00CF7D71"/>
    <w:rsid w:val="00DE46B0"/>
    <w:rsid w:val="00EB34DF"/>
    <w:rsid w:val="00EC48EB"/>
    <w:rsid w:val="00F1402D"/>
    <w:rsid w:val="00F165AD"/>
    <w:rsid w:val="015C6FDD"/>
    <w:rsid w:val="02FF6E04"/>
    <w:rsid w:val="030252C7"/>
    <w:rsid w:val="04BE0DD7"/>
    <w:rsid w:val="062722CA"/>
    <w:rsid w:val="069176CA"/>
    <w:rsid w:val="071D661D"/>
    <w:rsid w:val="075444FD"/>
    <w:rsid w:val="0830705A"/>
    <w:rsid w:val="0B5265F2"/>
    <w:rsid w:val="0BF6632B"/>
    <w:rsid w:val="0C4720F8"/>
    <w:rsid w:val="0CC7275E"/>
    <w:rsid w:val="0D275944"/>
    <w:rsid w:val="0D894F03"/>
    <w:rsid w:val="0FD71E73"/>
    <w:rsid w:val="119A2092"/>
    <w:rsid w:val="121E40E7"/>
    <w:rsid w:val="12FC58D6"/>
    <w:rsid w:val="136F2AF8"/>
    <w:rsid w:val="139727B9"/>
    <w:rsid w:val="16262DCF"/>
    <w:rsid w:val="16B36EFA"/>
    <w:rsid w:val="17210A80"/>
    <w:rsid w:val="178233E2"/>
    <w:rsid w:val="18A83290"/>
    <w:rsid w:val="19D82843"/>
    <w:rsid w:val="1A4D3D69"/>
    <w:rsid w:val="1BBC6206"/>
    <w:rsid w:val="1C165BD5"/>
    <w:rsid w:val="1C2E558C"/>
    <w:rsid w:val="1EBB2389"/>
    <w:rsid w:val="205B221C"/>
    <w:rsid w:val="21735CE8"/>
    <w:rsid w:val="22055458"/>
    <w:rsid w:val="2277002C"/>
    <w:rsid w:val="241A7951"/>
    <w:rsid w:val="2490430A"/>
    <w:rsid w:val="24912155"/>
    <w:rsid w:val="24D0386D"/>
    <w:rsid w:val="252356CF"/>
    <w:rsid w:val="259E02A7"/>
    <w:rsid w:val="26E506BB"/>
    <w:rsid w:val="27096633"/>
    <w:rsid w:val="27C23A37"/>
    <w:rsid w:val="290F3F18"/>
    <w:rsid w:val="2A400669"/>
    <w:rsid w:val="2A5A62C3"/>
    <w:rsid w:val="2AF250AC"/>
    <w:rsid w:val="2B436800"/>
    <w:rsid w:val="2BF337EE"/>
    <w:rsid w:val="2CA820FB"/>
    <w:rsid w:val="2D5B776A"/>
    <w:rsid w:val="33D96A27"/>
    <w:rsid w:val="35B13F8E"/>
    <w:rsid w:val="366355C6"/>
    <w:rsid w:val="370A23BA"/>
    <w:rsid w:val="37752E60"/>
    <w:rsid w:val="39E30943"/>
    <w:rsid w:val="3AE11CFF"/>
    <w:rsid w:val="3AE5636A"/>
    <w:rsid w:val="3B405A2F"/>
    <w:rsid w:val="3BEC2646"/>
    <w:rsid w:val="3C3A2FCC"/>
    <w:rsid w:val="3C750C08"/>
    <w:rsid w:val="3D4E289E"/>
    <w:rsid w:val="3D5A0670"/>
    <w:rsid w:val="3D740507"/>
    <w:rsid w:val="3F48708D"/>
    <w:rsid w:val="3F8176CD"/>
    <w:rsid w:val="3FFE402C"/>
    <w:rsid w:val="403E4E33"/>
    <w:rsid w:val="408077D3"/>
    <w:rsid w:val="40A10EB9"/>
    <w:rsid w:val="40DC7BA0"/>
    <w:rsid w:val="41F47A34"/>
    <w:rsid w:val="422B26C3"/>
    <w:rsid w:val="43085323"/>
    <w:rsid w:val="46302038"/>
    <w:rsid w:val="470E25AC"/>
    <w:rsid w:val="48253EAD"/>
    <w:rsid w:val="4B86648A"/>
    <w:rsid w:val="4BF57DF3"/>
    <w:rsid w:val="4BF85DA6"/>
    <w:rsid w:val="4C0E0013"/>
    <w:rsid w:val="4CE95EBF"/>
    <w:rsid w:val="52944CE1"/>
    <w:rsid w:val="55662AFC"/>
    <w:rsid w:val="55AE7226"/>
    <w:rsid w:val="55E91F5E"/>
    <w:rsid w:val="55F75641"/>
    <w:rsid w:val="56266170"/>
    <w:rsid w:val="574C0367"/>
    <w:rsid w:val="578D1B73"/>
    <w:rsid w:val="57D72B12"/>
    <w:rsid w:val="58F9513E"/>
    <w:rsid w:val="5A5D062A"/>
    <w:rsid w:val="5B540E5D"/>
    <w:rsid w:val="5B58396E"/>
    <w:rsid w:val="5B9968CA"/>
    <w:rsid w:val="5BC65E3B"/>
    <w:rsid w:val="5BFE4A18"/>
    <w:rsid w:val="5D9079C5"/>
    <w:rsid w:val="5E4F59C3"/>
    <w:rsid w:val="5FB84A26"/>
    <w:rsid w:val="61CB5BE3"/>
    <w:rsid w:val="6456204D"/>
    <w:rsid w:val="64B534AB"/>
    <w:rsid w:val="64EB4A6D"/>
    <w:rsid w:val="665065F5"/>
    <w:rsid w:val="671629EA"/>
    <w:rsid w:val="678F156E"/>
    <w:rsid w:val="68996A6F"/>
    <w:rsid w:val="68B24011"/>
    <w:rsid w:val="690F1AE8"/>
    <w:rsid w:val="696E704A"/>
    <w:rsid w:val="69880D20"/>
    <w:rsid w:val="6B8C6028"/>
    <w:rsid w:val="6BAD61F4"/>
    <w:rsid w:val="6BF54D83"/>
    <w:rsid w:val="6C104878"/>
    <w:rsid w:val="6D326829"/>
    <w:rsid w:val="6DB72AA2"/>
    <w:rsid w:val="6DD178FB"/>
    <w:rsid w:val="6E8562DB"/>
    <w:rsid w:val="72001B3A"/>
    <w:rsid w:val="728C28C4"/>
    <w:rsid w:val="739821E2"/>
    <w:rsid w:val="74FD39DA"/>
    <w:rsid w:val="75774B8B"/>
    <w:rsid w:val="77412F21"/>
    <w:rsid w:val="786E18A7"/>
    <w:rsid w:val="78DA6A6F"/>
    <w:rsid w:val="78F469D8"/>
    <w:rsid w:val="790333DB"/>
    <w:rsid w:val="7AB4627A"/>
    <w:rsid w:val="7BD3359D"/>
    <w:rsid w:val="7C8E5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页眉 Char"/>
    <w:basedOn w:val="8"/>
    <w:link w:val="4"/>
    <w:qFormat/>
    <w:uiPriority w:val="99"/>
    <w:rPr>
      <w:rFonts w:asciiTheme="minorHAnsi" w:hAnsiTheme="minorHAnsi" w:eastAsiaTheme="minorEastAsia" w:cstheme="minorBidi"/>
      <w:kern w:val="2"/>
      <w:sz w:val="18"/>
      <w:szCs w:val="18"/>
    </w:rPr>
  </w:style>
  <w:style w:type="character" w:customStyle="1" w:styleId="11">
    <w:name w:val="页脚 Char"/>
    <w:basedOn w:val="8"/>
    <w:link w:val="3"/>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388</Words>
  <Characters>2215</Characters>
  <Lines>18</Lines>
  <Paragraphs>5</Paragraphs>
  <TotalTime>10</TotalTime>
  <ScaleCrop>false</ScaleCrop>
  <LinksUpToDate>false</LinksUpToDate>
  <CharactersWithSpaces>2598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2020-03-19T05:37:00Z</dcterms:created>
  <dc:creator>邵际营</dc:creator>
  <cp:lastModifiedBy>lv1</cp:lastModifiedBy>
  <cp:lastPrinted>2020-03-30T01:10:00Z</cp:lastPrinted>
  <dcterms:modified xsi:type="dcterms:W3CDTF">2020-04-15T08:15:33Z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