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hAnsi="方正小标宋_GBK" w:eastAsia="方正小标宋_GBK" w:cs="方正小标宋_GBK"/>
          <w:color w:val="FF0000"/>
          <w:kern w:val="0"/>
          <w:sz w:val="68"/>
          <w:szCs w:val="68"/>
        </w:rPr>
      </w:pPr>
      <w:r>
        <w:rPr>
          <w:rFonts w:hint="eastAsia" w:ascii="方正小标宋简体" w:hAnsi="文星仿宋" w:eastAsia="方正小标宋简体"/>
          <w:color w:val="FF0000"/>
          <w:spacing w:val="-20"/>
          <w:w w:val="80"/>
          <w:sz w:val="66"/>
          <w:szCs w:val="72"/>
        </w:rPr>
        <mc:AlternateContent>
          <mc:Choice Requires="wps">
            <w:drawing>
              <wp:anchor distT="0" distB="0" distL="114300" distR="114300" simplePos="0" relativeHeight="251660288" behindDoc="0" locked="0" layoutInCell="1" allowOverlap="1">
                <wp:simplePos x="0" y="0"/>
                <wp:positionH relativeFrom="column">
                  <wp:posOffset>150495</wp:posOffset>
                </wp:positionH>
                <wp:positionV relativeFrom="paragraph">
                  <wp:posOffset>680085</wp:posOffset>
                </wp:positionV>
                <wp:extent cx="5456555" cy="16510"/>
                <wp:effectExtent l="0" t="28575" r="10795" b="31115"/>
                <wp:wrapNone/>
                <wp:docPr id="6" name="直接箭头连接符 6"/>
                <wp:cNvGraphicFramePr/>
                <a:graphic xmlns:a="http://schemas.openxmlformats.org/drawingml/2006/main">
                  <a:graphicData uri="http://schemas.microsoft.com/office/word/2010/wordprocessingShape">
                    <wps:wsp>
                      <wps:cNvCnPr/>
                      <wps:spPr>
                        <a:xfrm>
                          <a:off x="0" y="0"/>
                          <a:ext cx="5456555" cy="16510"/>
                        </a:xfrm>
                        <a:prstGeom prst="straightConnector1">
                          <a:avLst/>
                        </a:prstGeom>
                        <a:ln w="57150" cap="flat" cmpd="thickThin">
                          <a:solidFill>
                            <a:srgbClr val="FF0000"/>
                          </a:solidFill>
                          <a:prstDash val="solid"/>
                          <a:round/>
                          <a:headEnd type="none" w="med" len="med"/>
                          <a:tailEnd type="none" w="med" len="med"/>
                        </a:ln>
                        <a:effectLst/>
                      </wps:spPr>
                      <wps:bodyPr/>
                    </wps:wsp>
                  </a:graphicData>
                </a:graphic>
              </wp:anchor>
            </w:drawing>
          </mc:Choice>
          <mc:Fallback>
            <w:pict>
              <v:shape id="_x0000_s1026" o:spid="_x0000_s1026" o:spt="32" type="#_x0000_t32" style="position:absolute;left:0pt;margin-left:11.85pt;margin-top:53.55pt;height:1.3pt;width:429.65pt;z-index:251660288;mso-width-relative:page;mso-height-relative:page;" filled="f" stroked="t" coordsize="21600,21600" o:gfxdata="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zvNme2AAAAAoBAAAPAAAAAAAA&#10;AAEAIAAAACIAAABkcnMvZG93bnJldi54bWxQSwECFAAUAAAACACHTuJAp1dKvBICAAAPBAAADgAA&#10;AAAAAAABACAAAAAnAQAAZHJzL2Uyb0RvYy54bWxQSwUGAAAAAAYABgBZAQAAqwUAAAAA&#10;">
                <v:fill on="f" focussize="0,0"/>
                <v:stroke weight="4.5pt" color="#FF0000" linestyle="thickThin" joinstyle="round"/>
                <v:imagedata o:title=""/>
                <o:lock v:ext="edit" aspectratio="f"/>
              </v:shape>
            </w:pict>
          </mc:Fallback>
        </mc:AlternateContent>
      </w:r>
      <w:r>
        <w:rPr>
          <w:rFonts w:hint="eastAsia" w:ascii="方正小标宋简体" w:hAnsi="文星仿宋" w:eastAsia="方正小标宋简体"/>
          <w:color w:val="FF0000"/>
          <w:spacing w:val="-20"/>
          <w:w w:val="80"/>
          <w:sz w:val="66"/>
          <w:szCs w:val="72"/>
          <w:lang w:eastAsia="zh-CN"/>
        </w:rPr>
        <w:t>历城</w:t>
      </w:r>
      <w:r>
        <w:rPr>
          <w:rFonts w:hint="eastAsia" w:ascii="方正小标宋简体" w:hAnsi="文星仿宋" w:eastAsia="方正小标宋简体"/>
          <w:color w:val="FF0000"/>
          <w:spacing w:val="-20"/>
          <w:w w:val="80"/>
          <w:sz w:val="66"/>
          <w:szCs w:val="72"/>
        </w:rPr>
        <w:t>区优化营商环境市场监管指标专班</w:t>
      </w:r>
    </w:p>
    <w:p>
      <w:pPr>
        <w:adjustRightInd w:val="0"/>
        <w:jc w:val="center"/>
        <w:rPr>
          <w:rFonts w:hint="eastAsia" w:ascii="宋体" w:hAnsi="宋体" w:eastAsia="宋体" w:cs="Times New Roman"/>
          <w:b/>
          <w:sz w:val="44"/>
          <w:szCs w:val="44"/>
        </w:rPr>
      </w:pPr>
    </w:p>
    <w:p>
      <w:pPr>
        <w:keepNext w:val="0"/>
        <w:keepLines w:val="0"/>
        <w:pageBreakBefore w:val="0"/>
        <w:widowControl w:val="0"/>
        <w:kinsoku/>
        <w:wordWrap/>
        <w:overflowPunct/>
        <w:topLinePunct w:val="0"/>
        <w:autoSpaceDE/>
        <w:autoSpaceDN/>
        <w:bidi w:val="0"/>
        <w:adjustRightInd w:val="0"/>
        <w:snapToGrid/>
        <w:spacing w:line="600" w:lineRule="exact"/>
        <w:jc w:val="center"/>
        <w:textAlignment w:val="auto"/>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济南市</w:t>
      </w:r>
      <w:r>
        <w:rPr>
          <w:rFonts w:hint="eastAsia" w:ascii="方正小标宋_GBK" w:hAnsi="方正小标宋_GBK" w:eastAsia="方正小标宋_GBK" w:cs="方正小标宋_GBK"/>
          <w:b w:val="0"/>
          <w:bCs/>
          <w:sz w:val="44"/>
          <w:szCs w:val="44"/>
          <w:lang w:eastAsia="zh-CN"/>
        </w:rPr>
        <w:t>历城</w:t>
      </w:r>
      <w:r>
        <w:rPr>
          <w:rFonts w:hint="eastAsia" w:ascii="方正小标宋_GBK" w:hAnsi="方正小标宋_GBK" w:eastAsia="方正小标宋_GBK" w:cs="方正小标宋_GBK"/>
          <w:b w:val="0"/>
          <w:bCs/>
          <w:sz w:val="44"/>
          <w:szCs w:val="44"/>
        </w:rPr>
        <w:t>区2021年度营商环境评价</w:t>
      </w:r>
    </w:p>
    <w:p>
      <w:pPr>
        <w:keepNext w:val="0"/>
        <w:keepLines w:val="0"/>
        <w:pageBreakBefore w:val="0"/>
        <w:widowControl w:val="0"/>
        <w:kinsoku/>
        <w:wordWrap/>
        <w:overflowPunct/>
        <w:topLinePunct w:val="0"/>
        <w:autoSpaceDE/>
        <w:autoSpaceDN/>
        <w:bidi w:val="0"/>
        <w:adjustRightInd w:val="0"/>
        <w:snapToGrid/>
        <w:spacing w:line="600" w:lineRule="exact"/>
        <w:jc w:val="center"/>
        <w:textAlignment w:val="auto"/>
        <w:rPr>
          <w:rFonts w:hint="eastAsia" w:ascii="方正小标宋_GBK" w:hAnsi="方正小标宋_GBK" w:eastAsia="方正小标宋_GBK" w:cs="方正小标宋_GBK"/>
          <w:b w:val="0"/>
          <w:bCs/>
          <w:sz w:val="44"/>
          <w:szCs w:val="44"/>
          <w:lang w:eastAsia="zh-CN"/>
        </w:rPr>
      </w:pPr>
      <w:r>
        <w:rPr>
          <w:rFonts w:hint="eastAsia" w:ascii="方正小标宋_GBK" w:hAnsi="方正小标宋_GBK" w:eastAsia="方正小标宋_GBK" w:cs="方正小标宋_GBK"/>
          <w:b w:val="0"/>
          <w:bCs/>
          <w:sz w:val="44"/>
          <w:szCs w:val="44"/>
        </w:rPr>
        <w:t>市场监管指标迎评方案</w:t>
      </w:r>
    </w:p>
    <w:p>
      <w:pPr>
        <w:adjustRightInd w:val="0"/>
        <w:spacing w:line="540" w:lineRule="exact"/>
        <w:jc w:val="center"/>
        <w:rPr>
          <w:rFonts w:hint="eastAsia" w:ascii="方正小标宋简体" w:hAnsi="宋体" w:eastAsia="方正小标宋简体"/>
          <w:sz w:val="44"/>
          <w:szCs w:val="44"/>
        </w:rPr>
      </w:pPr>
    </w:p>
    <w:p>
      <w:pPr>
        <w:keepNext w:val="0"/>
        <w:keepLines w:val="0"/>
        <w:pageBreakBefore w:val="0"/>
        <w:kinsoku/>
        <w:wordWrap/>
        <w:overflowPunct/>
        <w:topLinePunct w:val="0"/>
        <w:autoSpaceDE/>
        <w:autoSpaceDN/>
        <w:bidi w:val="0"/>
        <w:adjustRightInd w:val="0"/>
        <w:snapToGrid w:val="0"/>
        <w:spacing w:line="640" w:lineRule="exact"/>
        <w:textAlignment w:val="auto"/>
        <w:outlineLvl w:val="9"/>
        <w:rPr>
          <w:rFonts w:hint="eastAsia" w:ascii="仿宋_GB2312" w:hAnsi="仿宋_GB2312" w:cs="仿宋_GB2312"/>
          <w:kern w:val="0"/>
          <w:sz w:val="32"/>
        </w:rPr>
      </w:pPr>
      <w:r>
        <w:rPr>
          <w:rFonts w:hint="eastAsia" w:ascii="仿宋_GB2312" w:hAnsi="仿宋_GB2312" w:cs="仿宋_GB2312"/>
          <w:kern w:val="0"/>
          <w:sz w:val="32"/>
          <w:lang w:eastAsia="zh-CN"/>
        </w:rPr>
        <w:t>历城区</w:t>
      </w:r>
      <w:r>
        <w:rPr>
          <w:rFonts w:hint="eastAsia" w:ascii="仿宋_GB2312" w:hAnsi="仿宋_GB2312" w:cs="仿宋_GB2312"/>
          <w:kern w:val="0"/>
          <w:sz w:val="32"/>
        </w:rPr>
        <w:t>市场监管指标</w:t>
      </w:r>
      <w:r>
        <w:rPr>
          <w:rFonts w:hint="eastAsia" w:ascii="仿宋_GB2312" w:hAnsi="仿宋_GB2312" w:cs="仿宋_GB2312"/>
          <w:kern w:val="0"/>
          <w:sz w:val="32"/>
          <w:lang w:eastAsia="zh-CN"/>
        </w:rPr>
        <w:t>各有关</w:t>
      </w:r>
      <w:r>
        <w:rPr>
          <w:rFonts w:hint="eastAsia" w:ascii="仿宋_GB2312" w:hAnsi="仿宋_GB2312" w:cs="仿宋_GB2312"/>
          <w:kern w:val="0"/>
          <w:sz w:val="32"/>
        </w:rPr>
        <w:t>部门：</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rPr>
      </w:pPr>
      <w:r>
        <w:rPr>
          <w:rFonts w:hint="eastAsia" w:ascii="仿宋_GB2312" w:hAnsi="仿宋_GB2312" w:cs="仿宋_GB2312"/>
          <w:kern w:val="0"/>
          <w:sz w:val="32"/>
        </w:rPr>
        <w:t>按照市委市政府</w:t>
      </w:r>
      <w:r>
        <w:rPr>
          <w:rFonts w:hint="eastAsia" w:ascii="仿宋_GB2312" w:hAnsi="仿宋_GB2312" w:cs="仿宋_GB2312"/>
          <w:kern w:val="0"/>
          <w:sz w:val="32"/>
          <w:lang w:eastAsia="zh-CN"/>
        </w:rPr>
        <w:t>、</w:t>
      </w:r>
      <w:r>
        <w:rPr>
          <w:rFonts w:hint="eastAsia" w:ascii="仿宋_GB2312" w:hAnsi="仿宋_GB2312" w:cs="仿宋_GB2312"/>
          <w:kern w:val="0"/>
          <w:sz w:val="32"/>
        </w:rPr>
        <w:t>区委区政府关于做好营商环境评价工作要求，为使市场监管指标在2021年营商环境评价工作中取得新成绩，再上新台阶，结合我</w:t>
      </w:r>
      <w:r>
        <w:rPr>
          <w:rFonts w:hint="eastAsia" w:ascii="仿宋_GB2312" w:hAnsi="仿宋_GB2312" w:cs="仿宋_GB2312"/>
          <w:kern w:val="0"/>
          <w:sz w:val="32"/>
          <w:lang w:eastAsia="zh-CN"/>
        </w:rPr>
        <w:t>区</w:t>
      </w:r>
      <w:r>
        <w:rPr>
          <w:rFonts w:hint="eastAsia" w:ascii="仿宋_GB2312" w:hAnsi="仿宋_GB2312" w:cs="仿宋_GB2312"/>
          <w:kern w:val="0"/>
          <w:sz w:val="32"/>
        </w:rPr>
        <w:t>实际，</w:t>
      </w:r>
      <w:r>
        <w:rPr>
          <w:rFonts w:hint="eastAsia" w:ascii="仿宋_GB2312" w:hAnsi="仿宋_GB2312" w:cs="仿宋_GB2312"/>
          <w:kern w:val="0"/>
          <w:sz w:val="32"/>
          <w:lang w:eastAsia="zh-CN"/>
        </w:rPr>
        <w:t>制定</w:t>
      </w:r>
      <w:r>
        <w:rPr>
          <w:rFonts w:hint="eastAsia" w:ascii="仿宋_GB2312" w:hAnsi="仿宋_GB2312" w:cs="仿宋_GB2312"/>
          <w:kern w:val="0"/>
          <w:sz w:val="32"/>
        </w:rPr>
        <w:t>《济南市历城区2021年度营商环境评价市场监管指标迎评方案》</w:t>
      </w:r>
      <w:r>
        <w:rPr>
          <w:rFonts w:hint="eastAsia" w:ascii="仿宋_GB2312" w:hAnsi="仿宋_GB2312" w:cs="仿宋_GB2312"/>
          <w:kern w:val="0"/>
          <w:sz w:val="32"/>
          <w:lang w:eastAsia="zh-CN"/>
        </w:rPr>
        <w:t>。</w:t>
      </w:r>
      <w:r>
        <w:rPr>
          <w:rFonts w:hint="eastAsia" w:ascii="仿宋_GB2312" w:hAnsi="仿宋_GB2312" w:cs="仿宋_GB2312"/>
          <w:kern w:val="0"/>
          <w:sz w:val="32"/>
        </w:rPr>
        <w:t>请各</w:t>
      </w:r>
      <w:r>
        <w:rPr>
          <w:rFonts w:hint="eastAsia" w:ascii="仿宋_GB2312" w:hAnsi="仿宋_GB2312" w:cs="仿宋_GB2312"/>
          <w:kern w:val="0"/>
          <w:sz w:val="32"/>
          <w:lang w:eastAsia="zh-CN"/>
        </w:rPr>
        <w:t>参评单位</w:t>
      </w:r>
      <w:r>
        <w:rPr>
          <w:rFonts w:hint="eastAsia" w:ascii="仿宋_GB2312" w:hAnsi="仿宋_GB2312" w:cs="仿宋_GB2312"/>
          <w:kern w:val="0"/>
          <w:sz w:val="32"/>
        </w:rPr>
        <w:t>进一步明确目标，迅速行动，自我提升，加快市场监管指标工作推进，狠抓工作落实，保障迎评工作成效。</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黑体" w:hAnsi="黑体" w:eastAsia="黑体" w:cs="Times New Roman"/>
          <w:kern w:val="0"/>
          <w:sz w:val="32"/>
        </w:rPr>
      </w:pPr>
      <w:r>
        <w:rPr>
          <w:rFonts w:hint="eastAsia" w:ascii="黑体" w:hAnsi="黑体" w:eastAsia="黑体" w:cs="Times New Roman"/>
          <w:kern w:val="0"/>
          <w:sz w:val="32"/>
        </w:rPr>
        <w:t>一、工作目标</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rPr>
      </w:pPr>
      <w:r>
        <w:rPr>
          <w:rFonts w:hint="eastAsia" w:ascii="仿宋_GB2312" w:hAnsi="仿宋_GB2312" w:cs="仿宋_GB2312"/>
          <w:kern w:val="0"/>
          <w:sz w:val="32"/>
        </w:rPr>
        <w:t>营商环境评价是检验优化营商环境工作进展和实际效果，查找短板和不足，推动持续深化营商环境改革，促进形成优化营商环境的良性竞争的有效方法。2020年在各级各单位的共同努力下，市场监管指标取得全国第15名的成绩，跨进全国标杆指标行列，2021年按照市委市政府要求，市场监管指标要进入全国前10名。</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黑体" w:hAnsi="黑体" w:eastAsia="黑体" w:cs="Times New Roman"/>
          <w:kern w:val="0"/>
          <w:sz w:val="32"/>
        </w:rPr>
      </w:pPr>
      <w:r>
        <w:rPr>
          <w:rFonts w:hint="eastAsia" w:ascii="黑体" w:hAnsi="黑体" w:eastAsia="黑体" w:cs="Times New Roman"/>
          <w:kern w:val="0"/>
          <w:sz w:val="32"/>
        </w:rPr>
        <w:t>二、指标评价内容</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hint="eastAsia" w:ascii="仿宋_GB2312" w:hAnsi="仿宋_GB2312" w:cs="仿宋_GB2312"/>
          <w:kern w:val="0"/>
          <w:sz w:val="32"/>
        </w:rPr>
      </w:pPr>
      <w:r>
        <w:rPr>
          <w:rFonts w:hint="eastAsia" w:ascii="楷体_GB2312" w:hAnsi="Times New Roman" w:eastAsia="楷体_GB2312" w:cs="Times New Roman"/>
          <w:b/>
          <w:kern w:val="0"/>
          <w:sz w:val="32"/>
        </w:rPr>
        <w:t>（一）评价内容。</w:t>
      </w:r>
      <w:r>
        <w:rPr>
          <w:rFonts w:hint="eastAsia" w:ascii="仿宋_GB2312" w:hAnsi="仿宋_GB2312" w:cs="仿宋_GB2312"/>
          <w:kern w:val="0"/>
          <w:sz w:val="32"/>
        </w:rPr>
        <w:t>根据省营商环境评价工作安排，2021年，市场监管指标的二级指标调整为“双随机、一公开”监管覆盖率、信用监管、互联网+监管、监管执法规范度、监管体制机制创新5个指标，评价参评单位落实监管责任，实施“双随机、一公开”监管、加强信用体系建设、推进“互联网+监管”以及规范涉企行政检查和处罚等情况（2021年国家营商环境评价方案正式出台后与本方案不同的地方，以国家营商环境评价方案要求为准）。</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hint="eastAsia" w:ascii="仿宋_GB2312" w:hAnsi="仿宋_GB2312" w:cs="仿宋_GB2312"/>
          <w:kern w:val="0"/>
          <w:sz w:val="32"/>
        </w:rPr>
      </w:pPr>
      <w:r>
        <w:rPr>
          <w:rFonts w:hint="eastAsia" w:ascii="楷体_GB2312" w:hAnsi="Times New Roman" w:eastAsia="楷体_GB2312" w:cs="Times New Roman"/>
          <w:b/>
          <w:kern w:val="0"/>
          <w:sz w:val="32"/>
        </w:rPr>
        <w:t>（二）指标分工。</w:t>
      </w:r>
      <w:r>
        <w:rPr>
          <w:rFonts w:hint="eastAsia" w:ascii="仿宋_GB2312" w:hAnsi="仿宋_GB2312" w:cs="仿宋_GB2312"/>
          <w:kern w:val="0"/>
          <w:sz w:val="32"/>
        </w:rPr>
        <w:t>参照省、市市场监管指标分工，结合我区实际，2021年市场监管指标分工如下：</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rPr>
      </w:pPr>
      <w:r>
        <w:rPr>
          <w:rFonts w:hint="eastAsia" w:ascii="仿宋_GB2312" w:hAnsi="仿宋_GB2312" w:cs="仿宋_GB2312"/>
          <w:kern w:val="0"/>
          <w:sz w:val="32"/>
        </w:rPr>
        <w:t>1、区市场监管局牵头负责市场监管一级指标及二级指标中的“双随机、一公开”监管覆盖率指标。</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rPr>
      </w:pPr>
      <w:r>
        <w:rPr>
          <w:rFonts w:hint="eastAsia" w:ascii="仿宋_GB2312" w:hAnsi="仿宋_GB2312" w:cs="仿宋_GB2312"/>
          <w:kern w:val="0"/>
          <w:sz w:val="32"/>
        </w:rPr>
        <w:t>2、区发改</w:t>
      </w:r>
      <w:r>
        <w:rPr>
          <w:rFonts w:hint="eastAsia" w:ascii="仿宋_GB2312" w:hAnsi="仿宋_GB2312" w:cs="仿宋_GB2312"/>
          <w:kern w:val="0"/>
          <w:sz w:val="32"/>
          <w:lang w:val="en-US" w:eastAsia="zh-CN"/>
        </w:rPr>
        <w:t>局</w:t>
      </w:r>
      <w:r>
        <w:rPr>
          <w:rFonts w:hint="eastAsia" w:ascii="仿宋_GB2312" w:hAnsi="仿宋_GB2312" w:cs="仿宋_GB2312"/>
          <w:kern w:val="0"/>
          <w:sz w:val="32"/>
        </w:rPr>
        <w:t>牵头负责信用监管二级指标，区</w:t>
      </w:r>
      <w:r>
        <w:rPr>
          <w:rFonts w:hint="eastAsia" w:ascii="仿宋_GB2312" w:hAnsi="仿宋_GB2312" w:cs="仿宋_GB2312"/>
          <w:kern w:val="0"/>
          <w:sz w:val="32"/>
          <w:lang w:eastAsia="zh-CN"/>
        </w:rPr>
        <w:t>工信</w:t>
      </w:r>
      <w:r>
        <w:rPr>
          <w:rFonts w:hint="eastAsia" w:ascii="仿宋_GB2312" w:hAnsi="仿宋_GB2312" w:cs="仿宋_GB2312"/>
          <w:kern w:val="0"/>
          <w:sz w:val="32"/>
        </w:rPr>
        <w:t>局为主要配合部门。</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rPr>
      </w:pPr>
      <w:r>
        <w:rPr>
          <w:rFonts w:hint="eastAsia" w:ascii="仿宋_GB2312" w:hAnsi="仿宋_GB2312" w:cs="仿宋_GB2312"/>
          <w:kern w:val="0"/>
          <w:sz w:val="32"/>
        </w:rPr>
        <w:t>3、区大数据局牵头负责互联网+监管二级指标，</w:t>
      </w:r>
      <w:r>
        <w:rPr>
          <w:rFonts w:hint="eastAsia" w:ascii="仿宋_GB2312" w:hAnsi="仿宋_GB2312" w:cs="仿宋_GB2312"/>
          <w:kern w:val="0"/>
          <w:sz w:val="32"/>
          <w:lang w:eastAsia="zh-CN"/>
        </w:rPr>
        <w:t>区政府办公室、</w:t>
      </w:r>
      <w:r>
        <w:rPr>
          <w:rFonts w:hint="eastAsia" w:ascii="仿宋_GB2312" w:hAnsi="仿宋_GB2312" w:cs="仿宋_GB2312"/>
          <w:kern w:val="0"/>
          <w:sz w:val="32"/>
        </w:rPr>
        <w:t>区发改</w:t>
      </w:r>
      <w:r>
        <w:rPr>
          <w:rFonts w:hint="eastAsia" w:ascii="仿宋_GB2312" w:hAnsi="仿宋_GB2312" w:cs="仿宋_GB2312"/>
          <w:kern w:val="0"/>
          <w:sz w:val="32"/>
          <w:lang w:val="en-US" w:eastAsia="zh-CN"/>
        </w:rPr>
        <w:t>局</w:t>
      </w:r>
      <w:r>
        <w:rPr>
          <w:rFonts w:hint="eastAsia" w:ascii="仿宋_GB2312" w:hAnsi="仿宋_GB2312" w:cs="仿宋_GB2312"/>
          <w:kern w:val="0"/>
          <w:sz w:val="32"/>
        </w:rPr>
        <w:t>、区司法局、区生态环境</w:t>
      </w:r>
      <w:r>
        <w:rPr>
          <w:rFonts w:hint="eastAsia" w:ascii="仿宋_GB2312" w:hAnsi="仿宋_GB2312" w:cs="仿宋_GB2312"/>
          <w:kern w:val="0"/>
          <w:sz w:val="32"/>
          <w:lang w:val="en-US" w:eastAsia="zh-CN"/>
        </w:rPr>
        <w:t>分</w:t>
      </w:r>
      <w:r>
        <w:rPr>
          <w:rFonts w:hint="eastAsia" w:ascii="仿宋_GB2312" w:hAnsi="仿宋_GB2312" w:cs="仿宋_GB2312"/>
          <w:kern w:val="0"/>
          <w:sz w:val="32"/>
        </w:rPr>
        <w:t>局、</w:t>
      </w:r>
      <w:r>
        <w:rPr>
          <w:rFonts w:hint="eastAsia" w:ascii="仿宋_GB2312" w:hAnsi="仿宋_GB2312" w:cs="仿宋_GB2312"/>
          <w:kern w:val="0"/>
          <w:sz w:val="32"/>
          <w:lang w:eastAsia="zh-CN"/>
        </w:rPr>
        <w:t>区</w:t>
      </w:r>
      <w:r>
        <w:rPr>
          <w:rFonts w:hint="eastAsia" w:ascii="仿宋_GB2312" w:hAnsi="仿宋_GB2312" w:cs="仿宋_GB2312"/>
          <w:kern w:val="0"/>
          <w:sz w:val="32"/>
        </w:rPr>
        <w:t>城乡交通运输局</w:t>
      </w:r>
      <w:r>
        <w:rPr>
          <w:rFonts w:hint="eastAsia" w:ascii="仿宋_GB2312" w:hAnsi="仿宋_GB2312" w:cs="仿宋_GB2312"/>
          <w:kern w:val="0"/>
          <w:sz w:val="32"/>
          <w:lang w:eastAsia="zh-CN"/>
        </w:rPr>
        <w:t>、</w:t>
      </w:r>
      <w:r>
        <w:rPr>
          <w:rFonts w:hint="eastAsia" w:ascii="仿宋_GB2312" w:hAnsi="仿宋_GB2312" w:cs="仿宋_GB2312"/>
          <w:kern w:val="0"/>
          <w:sz w:val="32"/>
        </w:rPr>
        <w:t>区农业农村局、区文化和旅游局、区市场监管局作为主要配合部门。</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lang w:eastAsia="zh-CN"/>
        </w:rPr>
      </w:pPr>
      <w:r>
        <w:rPr>
          <w:rFonts w:hint="eastAsia" w:ascii="仿宋_GB2312" w:hAnsi="仿宋_GB2312" w:cs="仿宋_GB2312"/>
          <w:kern w:val="0"/>
          <w:sz w:val="32"/>
        </w:rPr>
        <w:t>4、</w:t>
      </w:r>
      <w:r>
        <w:rPr>
          <w:rFonts w:hint="eastAsia" w:ascii="仿宋_GB2312" w:hAnsi="仿宋_GB2312" w:cs="仿宋_GB2312"/>
          <w:kern w:val="0"/>
          <w:sz w:val="32"/>
          <w:lang w:eastAsia="zh-CN"/>
        </w:rPr>
        <w:t>区</w:t>
      </w:r>
      <w:r>
        <w:rPr>
          <w:rFonts w:hint="eastAsia" w:ascii="仿宋_GB2312" w:hAnsi="仿宋_GB2312" w:cs="仿宋_GB2312"/>
          <w:kern w:val="0"/>
          <w:sz w:val="32"/>
        </w:rPr>
        <w:t>司法局牵头负责监管执法规范度二级指标</w:t>
      </w:r>
      <w:r>
        <w:rPr>
          <w:rFonts w:hint="eastAsia" w:ascii="仿宋_GB2312" w:hAnsi="仿宋_GB2312" w:cs="仿宋_GB2312"/>
          <w:kern w:val="0"/>
          <w:sz w:val="32"/>
          <w:lang w:eastAsia="zh-CN"/>
        </w:rPr>
        <w:t>。</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rPr>
      </w:pPr>
      <w:r>
        <w:rPr>
          <w:rFonts w:hint="eastAsia" w:ascii="仿宋_GB2312" w:hAnsi="仿宋_GB2312" w:cs="仿宋_GB2312"/>
          <w:kern w:val="0"/>
          <w:sz w:val="32"/>
          <w:lang w:val="en-US" w:eastAsia="zh-CN"/>
        </w:rPr>
        <w:t>5、</w:t>
      </w:r>
      <w:r>
        <w:rPr>
          <w:rFonts w:hint="eastAsia" w:ascii="仿宋_GB2312" w:hAnsi="仿宋_GB2312" w:cs="仿宋_GB2312"/>
          <w:kern w:val="0"/>
          <w:sz w:val="32"/>
          <w:lang w:eastAsia="zh-CN"/>
        </w:rPr>
        <w:t>区</w:t>
      </w:r>
      <w:r>
        <w:rPr>
          <w:rFonts w:hint="eastAsia" w:ascii="仿宋_GB2312" w:hAnsi="仿宋_GB2312" w:cs="仿宋_GB2312"/>
          <w:kern w:val="0"/>
          <w:sz w:val="32"/>
        </w:rPr>
        <w:t>政府办公</w:t>
      </w:r>
      <w:r>
        <w:rPr>
          <w:rFonts w:hint="eastAsia" w:ascii="仿宋_GB2312" w:hAnsi="仿宋_GB2312" w:cs="仿宋_GB2312"/>
          <w:kern w:val="0"/>
          <w:sz w:val="32"/>
          <w:lang w:eastAsia="zh-CN"/>
        </w:rPr>
        <w:t>室</w:t>
      </w:r>
      <w:r>
        <w:rPr>
          <w:rFonts w:hint="eastAsia" w:ascii="仿宋_GB2312" w:hAnsi="仿宋_GB2312" w:cs="仿宋_GB2312"/>
          <w:kern w:val="0"/>
          <w:sz w:val="32"/>
        </w:rPr>
        <w:t>牵头负责监管体制机制创新二级指标</w:t>
      </w:r>
      <w:r>
        <w:rPr>
          <w:rFonts w:hint="eastAsia" w:ascii="仿宋_GB2312" w:hAnsi="仿宋_GB2312" w:cs="仿宋_GB2312"/>
          <w:kern w:val="0"/>
          <w:sz w:val="32"/>
          <w:lang w:eastAsia="zh-CN"/>
        </w:rPr>
        <w:t>，</w:t>
      </w:r>
      <w:r>
        <w:rPr>
          <w:rFonts w:hint="eastAsia" w:ascii="仿宋_GB2312" w:hAnsi="仿宋_GB2312" w:cs="仿宋_GB2312"/>
          <w:kern w:val="0"/>
          <w:sz w:val="32"/>
        </w:rPr>
        <w:t>区司法局</w:t>
      </w:r>
      <w:r>
        <w:rPr>
          <w:rFonts w:hint="eastAsia" w:ascii="仿宋_GB2312" w:hAnsi="仿宋_GB2312" w:cs="仿宋_GB2312"/>
          <w:kern w:val="0"/>
          <w:sz w:val="32"/>
          <w:lang w:eastAsia="zh-CN"/>
        </w:rPr>
        <w:t>作为主要配合部门</w:t>
      </w:r>
      <w:r>
        <w:rPr>
          <w:rFonts w:hint="eastAsia" w:ascii="仿宋_GB2312" w:hAnsi="仿宋_GB2312" w:cs="仿宋_GB2312"/>
          <w:kern w:val="0"/>
          <w:sz w:val="32"/>
        </w:rPr>
        <w:t>。</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hAnsi="仿宋_GB2312" w:cs="仿宋_GB2312"/>
          <w:kern w:val="0"/>
          <w:sz w:val="32"/>
        </w:rPr>
      </w:pPr>
      <w:r>
        <w:rPr>
          <w:rFonts w:hint="eastAsia" w:ascii="仿宋_GB2312" w:hAnsi="仿宋_GB2312" w:cs="仿宋_GB2312"/>
          <w:kern w:val="0"/>
          <w:sz w:val="32"/>
        </w:rPr>
        <w:t>鉴于市场监管指标涉及部门多，各二级指标牵头部门要分别成立相关工作专班。</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hint="eastAsia" w:ascii="仿宋_GB2312" w:hAnsi="Times New Roman" w:eastAsia="宋体" w:cs="Times New Roman"/>
          <w:kern w:val="0"/>
          <w:sz w:val="32"/>
        </w:rPr>
      </w:pPr>
      <w:r>
        <w:rPr>
          <w:rFonts w:hint="eastAsia" w:ascii="仿宋_GB2312"/>
          <w:b/>
          <w:kern w:val="0"/>
          <w:sz w:val="32"/>
        </w:rPr>
        <w:t>市场监管指标参评部门：</w:t>
      </w:r>
      <w:r>
        <w:rPr>
          <w:rFonts w:hint="eastAsia" w:ascii="仿宋_GB2312" w:hAnsi="仿宋_GB2312" w:cs="仿宋_GB2312"/>
          <w:kern w:val="0"/>
          <w:sz w:val="32"/>
        </w:rPr>
        <w:t>全区具有监管执法、信用体系建设等职能的区级各单位均需参加市场监管指标评价，各参评部门参与的二级指标详见《附件1.市场监管指标牵头及涉及部门名单》。</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hint="eastAsia" w:ascii="仿宋_GB2312" w:hAnsi="Times New Roman" w:eastAsia="宋体" w:cs="Times New Roman"/>
          <w:kern w:val="0"/>
          <w:sz w:val="32"/>
        </w:rPr>
      </w:pPr>
      <w:r>
        <w:rPr>
          <w:rFonts w:hint="eastAsia" w:ascii="楷体_GB2312" w:hAnsi="Times New Roman" w:eastAsia="楷体_GB2312" w:cs="Times New Roman"/>
          <w:b/>
          <w:kern w:val="0"/>
          <w:sz w:val="32"/>
        </w:rPr>
        <w:t>（三）迎评方式。</w:t>
      </w:r>
      <w:r>
        <w:rPr>
          <w:rFonts w:hint="eastAsia" w:ascii="仿宋_GB2312" w:hAnsi="仿宋_GB2312" w:cs="仿宋_GB2312"/>
          <w:kern w:val="0"/>
          <w:sz w:val="32"/>
        </w:rPr>
        <w:t>包括相关政府部门网上填报问卷填报、企业满意度在线调查、大数据分析和舆情抓取等方式。今年，各二级指标牵头部门</w:t>
      </w:r>
      <w:r>
        <w:rPr>
          <w:rFonts w:hint="eastAsia" w:ascii="仿宋_GB2312" w:hAnsi="仿宋_GB2312" w:cs="仿宋_GB2312"/>
          <w:kern w:val="0"/>
          <w:sz w:val="32"/>
          <w:lang w:val="en-US" w:eastAsia="zh-CN"/>
        </w:rPr>
        <w:t>既</w:t>
      </w:r>
      <w:r>
        <w:rPr>
          <w:rFonts w:hint="eastAsia" w:ascii="仿宋_GB2312" w:hAnsi="仿宋_GB2312" w:cs="仿宋_GB2312"/>
          <w:kern w:val="0"/>
          <w:sz w:val="32"/>
        </w:rPr>
        <w:t>是营商环境评价的材料提供者，同时将参与营商环境评价的部门网上填报问卷等，要加快工作部署推进落实，选拔业务骨干，确定迎评人员，积极沟通上级部门，了解学习网上填报等具体操作步骤和方法，全面做好市场监管指标迎评准备工作。</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ascii="黑体" w:hAnsi="黑体" w:eastAsia="黑体"/>
          <w:kern w:val="0"/>
          <w:sz w:val="32"/>
        </w:rPr>
      </w:pPr>
      <w:r>
        <w:rPr>
          <w:rFonts w:hint="eastAsia" w:ascii="黑体" w:hAnsi="黑体" w:eastAsia="黑体"/>
          <w:kern w:val="0"/>
          <w:sz w:val="32"/>
        </w:rPr>
        <w:t>三、重点工作</w:t>
      </w:r>
    </w:p>
    <w:p>
      <w:pPr>
        <w:keepNext w:val="0"/>
        <w:keepLines w:val="0"/>
        <w:pageBreakBefore w:val="0"/>
        <w:widowControl/>
        <w:kinsoku/>
        <w:wordWrap/>
        <w:overflowPunct/>
        <w:topLinePunct w:val="0"/>
        <w:autoSpaceDE/>
        <w:autoSpaceDN/>
        <w:bidi w:val="0"/>
        <w:snapToGrid w:val="0"/>
        <w:spacing w:line="640" w:lineRule="exact"/>
        <w:ind w:firstLine="643" w:firstLineChars="200"/>
        <w:textAlignment w:val="auto"/>
        <w:outlineLvl w:val="9"/>
        <w:rPr>
          <w:rFonts w:hint="eastAsia" w:ascii="仿宋_GB2312" w:hAnsi="仿宋_GB2312" w:cs="仿宋_GB2312"/>
          <w:kern w:val="0"/>
          <w:sz w:val="32"/>
        </w:rPr>
      </w:pPr>
      <w:r>
        <w:rPr>
          <w:rFonts w:hint="eastAsia" w:ascii="楷体_GB2312" w:hAnsi="Times New Roman" w:eastAsia="楷体_GB2312" w:cs="Times New Roman"/>
          <w:b/>
          <w:kern w:val="0"/>
          <w:sz w:val="32"/>
        </w:rPr>
        <w:t>（一）开展自查自纠。</w:t>
      </w:r>
      <w:r>
        <w:rPr>
          <w:rFonts w:hint="eastAsia" w:ascii="仿宋_GB2312" w:hAnsi="仿宋_GB2312" w:cs="仿宋_GB2312"/>
          <w:b/>
          <w:kern w:val="0"/>
          <w:sz w:val="32"/>
        </w:rPr>
        <w:t>一是</w:t>
      </w:r>
      <w:r>
        <w:rPr>
          <w:rFonts w:hint="eastAsia" w:ascii="仿宋_GB2312" w:hAnsi="仿宋_GB2312" w:cs="仿宋_GB2312"/>
          <w:kern w:val="0"/>
          <w:sz w:val="32"/>
        </w:rPr>
        <w:t>参评部门要结合职责，加强2020年度全国营商环境评价、全省营商环境评价反馈问题的研究分析，确保问题整改到位。</w:t>
      </w:r>
      <w:r>
        <w:rPr>
          <w:rFonts w:hint="eastAsia" w:ascii="仿宋_GB2312" w:hAnsi="仿宋_GB2312" w:cs="仿宋_GB2312"/>
          <w:b/>
          <w:kern w:val="0"/>
          <w:sz w:val="32"/>
        </w:rPr>
        <w:t>二是</w:t>
      </w:r>
      <w:r>
        <w:rPr>
          <w:rFonts w:hint="eastAsia" w:ascii="仿宋_GB2312" w:hAnsi="仿宋_GB2312" w:cs="仿宋_GB2312"/>
          <w:kern w:val="0"/>
          <w:sz w:val="32"/>
        </w:rPr>
        <w:t>要对照</w:t>
      </w:r>
      <w:r>
        <w:rPr>
          <w:rFonts w:hint="eastAsia" w:ascii="仿宋_GB2312" w:hAnsi="仿宋_GB2312" w:cs="仿宋_GB2312"/>
          <w:kern w:val="0"/>
          <w:sz w:val="32"/>
          <w:lang w:val="en-US" w:eastAsia="zh-CN"/>
        </w:rPr>
        <w:t>各级</w:t>
      </w:r>
      <w:r>
        <w:rPr>
          <w:rFonts w:hint="eastAsia" w:ascii="仿宋_GB2312" w:hAnsi="仿宋_GB2312" w:cs="仿宋_GB2312"/>
          <w:kern w:val="0"/>
          <w:sz w:val="32"/>
        </w:rPr>
        <w:t>党委和政府自2020年1月1日以来出台的优化营商环境、深化“放管服”改革、服务“六稳”“六保”等等系列政策文件，全面梳理本部门配套政策措施，查摆政策盲区，该出政策出政策、该补短板补短板。要对标对表先进城市，主动谋划推出一批具有首创性、引领性的制度创新成果。要加快工作推进落实，对照印发出台的各级文件政策要求，采取有利措施，做好工作部署推进，按照任务时间节点及时推进落实，没有完成时间要求的工作要全面加速推进往前赶，能够提前推进完成的工作要加快工作进程尽快完成。</w:t>
      </w:r>
      <w:r>
        <w:rPr>
          <w:rFonts w:hint="eastAsia" w:ascii="仿宋_GB2312" w:hAnsi="仿宋_GB2312" w:cs="仿宋_GB2312"/>
          <w:b/>
          <w:kern w:val="0"/>
          <w:sz w:val="32"/>
        </w:rPr>
        <w:t>三是</w:t>
      </w:r>
      <w:r>
        <w:rPr>
          <w:rFonts w:hint="eastAsia" w:ascii="仿宋_GB2312" w:hAnsi="仿宋_GB2312" w:cs="仿宋_GB2312"/>
          <w:kern w:val="0"/>
          <w:sz w:val="32"/>
        </w:rPr>
        <w:t>要做好工作上传下达，及时对接上级部门了解市场监管指标工作推进要求，做好工作部署推进。</w:t>
      </w:r>
      <w:r>
        <w:rPr>
          <w:rFonts w:hint="eastAsia" w:ascii="仿宋_GB2312" w:hAnsi="仿宋_GB2312" w:cs="仿宋_GB2312"/>
          <w:kern w:val="0"/>
          <w:sz w:val="32"/>
          <w:lang w:val="en-US" w:eastAsia="zh-CN"/>
        </w:rPr>
        <w:t>各部门要做好</w:t>
      </w:r>
      <w:r>
        <w:rPr>
          <w:rFonts w:hint="eastAsia" w:ascii="仿宋_GB2312" w:hAnsi="仿宋_GB2312" w:cs="仿宋_GB2312"/>
          <w:kern w:val="0"/>
          <w:sz w:val="32"/>
        </w:rPr>
        <w:t>自查自纠情况（包括工作进展情况、成效、典型事例、存在问题、下一步打算）及</w:t>
      </w:r>
      <w:r>
        <w:rPr>
          <w:rFonts w:hint="eastAsia" w:ascii="仿宋_GB2312" w:hAnsi="仿宋_GB2312" w:cs="仿宋_GB2312"/>
          <w:kern w:val="0"/>
          <w:sz w:val="32"/>
          <w:lang w:val="en-US" w:eastAsia="zh-CN"/>
        </w:rPr>
        <w:t>梳理</w:t>
      </w:r>
      <w:r>
        <w:rPr>
          <w:rFonts w:hint="eastAsia" w:ascii="仿宋_GB2312" w:hAnsi="仿宋_GB2312" w:cs="仿宋_GB2312"/>
          <w:kern w:val="0"/>
          <w:sz w:val="32"/>
        </w:rPr>
        <w:t>制定印发的相关</w:t>
      </w:r>
      <w:r>
        <w:rPr>
          <w:rFonts w:hint="eastAsia" w:ascii="仿宋_GB2312" w:hAnsi="仿宋_GB2312" w:cs="仿宋_GB2312"/>
          <w:kern w:val="0"/>
          <w:sz w:val="32"/>
          <w:lang w:val="en-US" w:eastAsia="zh-CN"/>
        </w:rPr>
        <w:t>营商</w:t>
      </w:r>
      <w:r>
        <w:rPr>
          <w:rFonts w:hint="eastAsia" w:ascii="仿宋_GB2312" w:hAnsi="仿宋_GB2312" w:cs="仿宋_GB2312"/>
          <w:kern w:val="0"/>
          <w:sz w:val="32"/>
        </w:rPr>
        <w:t>政策文件</w:t>
      </w:r>
      <w:r>
        <w:rPr>
          <w:rFonts w:hint="eastAsia" w:ascii="仿宋_GB2312" w:hAnsi="仿宋_GB2312" w:cs="仿宋_GB2312"/>
          <w:kern w:val="0"/>
          <w:sz w:val="32"/>
          <w:lang w:eastAsia="zh-CN"/>
        </w:rPr>
        <w:t>，</w:t>
      </w:r>
      <w:r>
        <w:rPr>
          <w:rFonts w:hint="eastAsia" w:ascii="仿宋_GB2312" w:hAnsi="仿宋_GB2312" w:cs="仿宋_GB2312"/>
          <w:kern w:val="0"/>
          <w:sz w:val="32"/>
          <w:lang w:val="en-US" w:eastAsia="zh-CN"/>
        </w:rPr>
        <w:t>随时做好迎查准备</w:t>
      </w:r>
      <w:r>
        <w:rPr>
          <w:rFonts w:hint="eastAsia" w:ascii="仿宋_GB2312" w:hAnsi="仿宋_GB2312" w:cs="仿宋_GB2312"/>
          <w:kern w:val="0"/>
          <w:sz w:val="32"/>
        </w:rPr>
        <w:t>。</w:t>
      </w:r>
    </w:p>
    <w:p>
      <w:pPr>
        <w:keepNext w:val="0"/>
        <w:keepLines w:val="0"/>
        <w:pageBreakBefore w:val="0"/>
        <w:widowControl/>
        <w:kinsoku/>
        <w:wordWrap/>
        <w:overflowPunct/>
        <w:topLinePunct w:val="0"/>
        <w:autoSpaceDE/>
        <w:autoSpaceDN/>
        <w:bidi w:val="0"/>
        <w:snapToGrid w:val="0"/>
        <w:spacing w:line="640" w:lineRule="exact"/>
        <w:ind w:firstLine="643" w:firstLineChars="200"/>
        <w:textAlignment w:val="auto"/>
        <w:outlineLvl w:val="9"/>
        <w:rPr>
          <w:rFonts w:hAnsi="仿宋_GB2312" w:cs="仿宋_GB2312"/>
          <w:kern w:val="0"/>
          <w:sz w:val="32"/>
        </w:rPr>
      </w:pPr>
      <w:r>
        <w:rPr>
          <w:rFonts w:hint="eastAsia" w:ascii="楷体_GB2312" w:hAnsi="Times New Roman" w:eastAsia="楷体_GB2312" w:cs="Times New Roman"/>
          <w:b/>
          <w:kern w:val="0"/>
          <w:sz w:val="32"/>
        </w:rPr>
        <w:t>（二）做好创新提升。</w:t>
      </w:r>
      <w:r>
        <w:rPr>
          <w:rFonts w:hint="eastAsia" w:ascii="FZKTK--GBK1-0" w:hAnsi="FZKTK--GBK1-0"/>
          <w:kern w:val="0"/>
          <w:sz w:val="32"/>
        </w:rPr>
        <w:t>各参评部门</w:t>
      </w:r>
      <w:r>
        <w:rPr>
          <w:rFonts w:hint="eastAsia" w:hAnsi="仿宋_GB2312" w:cs="仿宋_GB2312"/>
          <w:kern w:val="0"/>
          <w:sz w:val="32"/>
        </w:rPr>
        <w:t>要自我加压、主动作为，围绕本部门、单位监管的行业特点，推进监管体制机制、方式方法等创新，持续提升监管效能。</w:t>
      </w:r>
      <w:r>
        <w:rPr>
          <w:rFonts w:hint="eastAsia"/>
          <w:b/>
          <w:bCs/>
          <w:kern w:val="0"/>
          <w:sz w:val="32"/>
        </w:rPr>
        <w:t>一是</w:t>
      </w:r>
      <w:r>
        <w:rPr>
          <w:rFonts w:hint="eastAsia" w:hAnsi="仿宋_GB2312" w:cs="仿宋_GB2312"/>
          <w:kern w:val="0"/>
          <w:sz w:val="32"/>
        </w:rPr>
        <w:t>推动审管有效衔接。深刻理解审管分离的核心要义，抓好权责事项清单的梳理认领，持续优化审管互动流程和</w:t>
      </w:r>
      <w:r>
        <w:rPr>
          <w:rFonts w:hint="eastAsia"/>
          <w:kern w:val="0"/>
          <w:sz w:val="32"/>
        </w:rPr>
        <w:t>服务平台，完善审管信息双向反馈机制，确保事前审批同事中事后监管衔接高效。</w:t>
      </w:r>
      <w:r>
        <w:rPr>
          <w:rFonts w:hint="eastAsia"/>
          <w:b/>
          <w:bCs/>
          <w:kern w:val="0"/>
          <w:sz w:val="32"/>
        </w:rPr>
        <w:t>二是</w:t>
      </w:r>
      <w:r>
        <w:rPr>
          <w:rFonts w:hint="eastAsia" w:hAnsi="仿宋_GB2312" w:cs="仿宋_GB2312"/>
          <w:kern w:val="0"/>
          <w:sz w:val="32"/>
        </w:rPr>
        <w:t>推进集成式多元化监管。全面推行跨部门联合“双随机、一公开”监管和线上线下一体化联动监管，精细化运用多种监管方式，形成全面覆盖、互为补充的监管“工具箱”。除特殊行业、重点领域外，日常涉企</w:t>
      </w:r>
      <w:r>
        <w:rPr>
          <w:rFonts w:hint="eastAsia"/>
          <w:kern w:val="0"/>
          <w:sz w:val="32"/>
        </w:rPr>
        <w:t>检查全部通过“双随机、一公开”方式进行。依托数字化监管平台，持续扩大非现场监管领域范围，探索</w:t>
      </w:r>
      <w:r>
        <w:rPr>
          <w:rFonts w:hint="eastAsia" w:hAnsi="仿宋_GB2312" w:cs="仿宋_GB2312"/>
          <w:kern w:val="0"/>
          <w:sz w:val="32"/>
        </w:rPr>
        <w:t>开展远程监管、移动监管、智慧监管等</w:t>
      </w:r>
      <w:r>
        <w:rPr>
          <w:rFonts w:hint="eastAsia"/>
          <w:kern w:val="0"/>
          <w:sz w:val="32"/>
        </w:rPr>
        <w:t>。</w:t>
      </w:r>
      <w:r>
        <w:rPr>
          <w:rFonts w:hint="eastAsia"/>
          <w:b/>
          <w:bCs/>
          <w:kern w:val="0"/>
          <w:sz w:val="32"/>
        </w:rPr>
        <w:t>三是</w:t>
      </w:r>
      <w:r>
        <w:rPr>
          <w:rFonts w:hint="eastAsia" w:hAnsi="仿宋_GB2312" w:cs="仿宋_GB2312"/>
          <w:kern w:val="0"/>
          <w:sz w:val="32"/>
        </w:rPr>
        <w:t>大力实施包容审慎监管。要加强对新业态新模式的研究，对看得准、有发展前景的，及</w:t>
      </w:r>
      <w:r>
        <w:rPr>
          <w:rFonts w:hint="eastAsia"/>
          <w:kern w:val="0"/>
          <w:sz w:val="32"/>
        </w:rPr>
        <w:t>时出台引导性、前瞻性监管规则和标准，合理引导企业发展；对一时看不准、可能存在风险的，可以划定可控范围，探索应用“沙盒监管”、触发式监管等机制，给予市场主体成长“容错”“试错”空间。</w:t>
      </w:r>
      <w:r>
        <w:rPr>
          <w:rFonts w:hint="eastAsia"/>
          <w:b/>
          <w:bCs/>
          <w:kern w:val="0"/>
          <w:sz w:val="32"/>
        </w:rPr>
        <w:t>四是</w:t>
      </w:r>
      <w:r>
        <w:rPr>
          <w:rFonts w:hint="eastAsia" w:hAnsi="仿宋_GB2312" w:cs="仿宋_GB2312"/>
          <w:kern w:val="0"/>
          <w:sz w:val="32"/>
        </w:rPr>
        <w:t>推动监管执法标准化</w:t>
      </w:r>
      <w:r>
        <w:rPr>
          <w:rFonts w:hint="eastAsia"/>
          <w:kern w:val="0"/>
          <w:sz w:val="32"/>
        </w:rPr>
        <w:t>。要深入细致研究监管执法工作，加快推进监管工作的标准化</w:t>
      </w:r>
      <w:r>
        <w:rPr>
          <w:rFonts w:hint="eastAsia" w:hAnsi="仿宋_GB2312" w:cs="仿宋_GB2312"/>
          <w:kern w:val="0"/>
          <w:sz w:val="32"/>
        </w:rPr>
        <w:t>、规范化、统一化，制定监管工作指引或操作指南，</w:t>
      </w:r>
      <w:r>
        <w:rPr>
          <w:rFonts w:hint="eastAsia" w:hAnsi="仿宋" w:cs="仿宋"/>
          <w:kern w:val="0"/>
          <w:sz w:val="32"/>
        </w:rPr>
        <w:t>全面推进“一套标准管监管”和“同城同标”，</w:t>
      </w:r>
      <w:r>
        <w:rPr>
          <w:rFonts w:hint="eastAsia" w:hAnsi="仿宋_GB2312" w:cs="仿宋_GB2312"/>
          <w:kern w:val="0"/>
          <w:sz w:val="32"/>
        </w:rPr>
        <w:t>落实法制化、规范化的监管执法秩序。</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ascii="仿宋_GB2312"/>
          <w:kern w:val="0"/>
          <w:sz w:val="32"/>
        </w:rPr>
      </w:pPr>
      <w:r>
        <w:rPr>
          <w:rFonts w:hint="eastAsia" w:ascii="楷体_GB2312" w:hAnsi="Times New Roman" w:eastAsia="楷体_GB2312" w:cs="Times New Roman"/>
          <w:b/>
          <w:kern w:val="0"/>
          <w:sz w:val="32"/>
        </w:rPr>
        <w:t>（三）加强培训指导。</w:t>
      </w:r>
      <w:r>
        <w:rPr>
          <w:rFonts w:hint="eastAsia" w:ascii="FZKTK--GBK1-0" w:hAnsi="FZKTK--GBK1-0"/>
          <w:kern w:val="0"/>
          <w:sz w:val="32"/>
        </w:rPr>
        <w:t>各参评部门</w:t>
      </w:r>
      <w:r>
        <w:rPr>
          <w:rFonts w:hint="eastAsia" w:ascii="仿宋_GB2312"/>
          <w:kern w:val="0"/>
          <w:sz w:val="32"/>
        </w:rPr>
        <w:t>要重视培养业务骨干人才。</w:t>
      </w:r>
      <w:r>
        <w:rPr>
          <w:rFonts w:hint="eastAsia" w:ascii="仿宋_GB2312"/>
          <w:b/>
          <w:kern w:val="0"/>
          <w:sz w:val="32"/>
        </w:rPr>
        <w:t>一是</w:t>
      </w:r>
      <w:r>
        <w:rPr>
          <w:rFonts w:hint="eastAsia" w:ascii="仿宋_GB2312"/>
          <w:kern w:val="0"/>
          <w:sz w:val="32"/>
        </w:rPr>
        <w:t>要加强业务培训学习，特别是“放管服”改革、“双随机、一公开”监管、信用监管、互联网+监管、监管执法规范、监管体制机制等重要工作，持续提升工作人员的业务水平和能力；</w:t>
      </w:r>
      <w:r>
        <w:rPr>
          <w:rFonts w:hint="eastAsia" w:ascii="仿宋_GB2312"/>
          <w:b/>
          <w:kern w:val="0"/>
          <w:sz w:val="32"/>
        </w:rPr>
        <w:t>二是</w:t>
      </w:r>
      <w:r>
        <w:rPr>
          <w:rFonts w:hint="eastAsia" w:ascii="仿宋_GB2312"/>
          <w:kern w:val="0"/>
          <w:sz w:val="32"/>
        </w:rPr>
        <w:t>要加强请示汇报，及时向上级对口业务机关反馈工作中发现的问题和难点；</w:t>
      </w:r>
      <w:r>
        <w:rPr>
          <w:rFonts w:hint="eastAsia" w:ascii="仿宋_GB2312"/>
          <w:b/>
          <w:kern w:val="0"/>
          <w:sz w:val="32"/>
        </w:rPr>
        <w:t>三是</w:t>
      </w:r>
      <w:r>
        <w:rPr>
          <w:rFonts w:hint="eastAsia" w:ascii="仿宋_GB2312"/>
          <w:kern w:val="0"/>
          <w:sz w:val="32"/>
        </w:rPr>
        <w:t>通过参加济南市各单位组织的岗位大练兵、学习标兵、法律法规知识竞赛等业务评选活动，以评促学、以评促进，发现各业务岗位的骨干精英，为营商环境评价工作做好准备。</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hint="eastAsia" w:ascii="FZKTK--GBK1-0" w:hAnsi="FZKTK--GBK1-0"/>
          <w:kern w:val="0"/>
          <w:sz w:val="32"/>
          <w:u w:val="single"/>
        </w:rPr>
      </w:pPr>
      <w:r>
        <w:rPr>
          <w:rFonts w:hint="eastAsia" w:ascii="楷体_GB2312" w:hAnsi="Times New Roman" w:eastAsia="楷体_GB2312" w:cs="Times New Roman"/>
          <w:b/>
          <w:kern w:val="0"/>
          <w:sz w:val="32"/>
        </w:rPr>
        <w:t>（四）帮扶样本企业。</w:t>
      </w:r>
      <w:r>
        <w:rPr>
          <w:rFonts w:hint="eastAsia" w:ascii="仿宋_GB2312"/>
          <w:kern w:val="0"/>
          <w:sz w:val="32"/>
        </w:rPr>
        <w:t>各参评部门要建立市场监管指标全量企业样本库，全面摸排掌握企业情况，同时调动熟悉政策、熟悉企业的人员力量，与企业之间建立“一对一”联络机制，多渠道宣传改革举措，认真听取企业意见建议，随时解决企业反映难点问题，全面提升企业满意度，在评价期间，要主动指导企业做好满意度在线调查相关工作，并尊重企业意愿，坚决杜绝强制、代替企业答题或干扰正常生产经营情况。</w:t>
      </w:r>
      <w:r>
        <w:rPr>
          <w:rFonts w:hint="eastAsia" w:ascii="FZKTK--GBK1-0" w:hAnsi="FZKTK--GBK1-0"/>
          <w:kern w:val="0"/>
          <w:sz w:val="32"/>
        </w:rPr>
        <w:t>各参评部门要做好样本企业走访指导，及时解答走访过程中企业中遇到的问题，共同提升企业满意度。</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hint="eastAsia" w:ascii="仿宋_GB2312" w:hAnsi="仿宋_GB2312" w:cs="仿宋_GB2312"/>
          <w:kern w:val="0"/>
          <w:sz w:val="32"/>
        </w:rPr>
      </w:pPr>
      <w:r>
        <w:rPr>
          <w:rFonts w:hint="eastAsia" w:ascii="楷体_GB2312" w:hAnsi="Times New Roman" w:eastAsia="楷体_GB2312" w:cs="Times New Roman"/>
          <w:b/>
          <w:kern w:val="0"/>
          <w:sz w:val="32"/>
        </w:rPr>
        <w:t>（五）强化公示宣传。</w:t>
      </w:r>
      <w:r>
        <w:rPr>
          <w:rFonts w:hint="eastAsia" w:ascii="仿宋_GB2312"/>
          <w:kern w:val="0"/>
          <w:sz w:val="32"/>
        </w:rPr>
        <w:t>各参评部门要多维度多渠道宣传市场监管的政策文件、涉企措施、规章制度、工作流程、典型案例等内容，增加企业、社会公众对市场监管的认识和理解。</w:t>
      </w:r>
      <w:r>
        <w:rPr>
          <w:rFonts w:hint="eastAsia" w:ascii="楷体_GB2312" w:eastAsia="楷体_GB2312"/>
          <w:b/>
          <w:kern w:val="0"/>
          <w:sz w:val="32"/>
        </w:rPr>
        <w:t>一是</w:t>
      </w:r>
      <w:r>
        <w:rPr>
          <w:rFonts w:hint="eastAsia" w:ascii="仿宋_GB2312"/>
          <w:kern w:val="0"/>
          <w:sz w:val="32"/>
        </w:rPr>
        <w:t>要按照“应公示、尽公示”的原则，通过政府官网、部门官网、</w:t>
      </w:r>
      <w:r>
        <w:rPr>
          <w:rFonts w:hint="eastAsia" w:ascii="仿宋_GB2312" w:hAnsi="仿宋_GB2312" w:cs="仿宋_GB2312"/>
          <w:kern w:val="0"/>
          <w:sz w:val="32"/>
          <w:szCs w:val="22"/>
        </w:rPr>
        <w:t>市政务服务、</w:t>
      </w:r>
      <w:r>
        <w:rPr>
          <w:rFonts w:hint="eastAsia" w:ascii="仿宋_GB2312"/>
          <w:kern w:val="0"/>
          <w:sz w:val="32"/>
        </w:rPr>
        <w:t>信用中国（济南）等网站平台等向社会公示宣传市场监管有关内容。</w:t>
      </w:r>
      <w:r>
        <w:rPr>
          <w:rFonts w:hint="eastAsia" w:ascii="仿宋_GB2312"/>
          <w:b/>
          <w:kern w:val="0"/>
          <w:sz w:val="32"/>
        </w:rPr>
        <w:t>二是</w:t>
      </w:r>
      <w:r>
        <w:rPr>
          <w:rFonts w:hint="eastAsia" w:ascii="仿宋_GB2312"/>
          <w:kern w:val="0"/>
          <w:sz w:val="32"/>
        </w:rPr>
        <w:t>要开展针对性宣传，大力宣传工作创新典型事例，努力提高宣传层级，宣传内容要多体现“监管、信用、双随机、执法规范、执法标准、营商环境、领先、首创、创新、互联网+监管”等与市场监管指标工作有关的关键字词，图片、视频等类宣传要有宣传内容的文字摘要，在区政府网站、</w:t>
      </w:r>
      <w:r>
        <w:rPr>
          <w:rFonts w:hint="eastAsia" w:ascii="仿宋_GB2312"/>
          <w:kern w:val="0"/>
          <w:sz w:val="32"/>
          <w:lang w:eastAsia="zh-CN"/>
        </w:rPr>
        <w:t>微信公众号</w:t>
      </w:r>
      <w:r>
        <w:rPr>
          <w:rFonts w:hint="eastAsia" w:ascii="仿宋_GB2312"/>
          <w:kern w:val="0"/>
          <w:sz w:val="32"/>
        </w:rPr>
        <w:t>等新闻媒介以“新闻”、简报等形式发表，</w:t>
      </w:r>
      <w:r>
        <w:rPr>
          <w:rFonts w:hint="eastAsia" w:ascii="仿宋_GB2312"/>
          <w:kern w:val="0"/>
          <w:sz w:val="32"/>
          <w:lang w:val="en-US" w:eastAsia="zh-CN"/>
        </w:rPr>
        <w:t>并做好资料留存</w:t>
      </w:r>
      <w:r>
        <w:rPr>
          <w:rFonts w:hint="eastAsia" w:ascii="仿宋_GB2312"/>
          <w:kern w:val="0"/>
          <w:sz w:val="32"/>
        </w:rPr>
        <w:t>。</w:t>
      </w:r>
      <w:r>
        <w:rPr>
          <w:rFonts w:hint="eastAsia" w:ascii="仿宋_GB2312"/>
          <w:b/>
          <w:kern w:val="0"/>
          <w:sz w:val="32"/>
        </w:rPr>
        <w:t>三是</w:t>
      </w:r>
      <w:r>
        <w:rPr>
          <w:rFonts w:hint="eastAsia" w:ascii="仿宋_GB2312" w:hAnsi="仿宋_GB2312" w:cs="仿宋_GB2312"/>
          <w:kern w:val="0"/>
          <w:sz w:val="32"/>
        </w:rPr>
        <w:t>要加强负面信息应对。对12345政务服务便民热线、企业“接诉即办”平台等反映曝光的问题，及时采取措施解决，积极做好舆情应对。</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ascii="仿宋_GB2312"/>
          <w:kern w:val="0"/>
          <w:sz w:val="32"/>
        </w:rPr>
      </w:pPr>
      <w:r>
        <w:rPr>
          <w:rFonts w:hint="eastAsia" w:ascii="楷体_GB2312" w:hAnsi="Times New Roman" w:eastAsia="楷体_GB2312" w:cs="Times New Roman"/>
          <w:b/>
          <w:kern w:val="0"/>
          <w:sz w:val="32"/>
        </w:rPr>
        <w:t>（六）提炼典型经验。</w:t>
      </w:r>
      <w:r>
        <w:rPr>
          <w:rFonts w:hint="eastAsia" w:ascii="FZKTK--GBK1-0" w:hAnsi="FZKTK--GBK1-0"/>
          <w:kern w:val="0"/>
          <w:sz w:val="32"/>
        </w:rPr>
        <w:t>区各参评部门</w:t>
      </w:r>
      <w:r>
        <w:rPr>
          <w:rFonts w:hint="eastAsia" w:ascii="仿宋_GB2312"/>
          <w:kern w:val="0"/>
          <w:sz w:val="32"/>
        </w:rPr>
        <w:t>要做好本部门、本系统营商环境评价市场监管方面工作的总结提炼，力争形成一批市场监管品牌。</w:t>
      </w:r>
      <w:r>
        <w:rPr>
          <w:rFonts w:hint="eastAsia" w:ascii="仿宋_GB2312"/>
          <w:b/>
          <w:kern w:val="0"/>
          <w:sz w:val="32"/>
        </w:rPr>
        <w:t>一是</w:t>
      </w:r>
      <w:r>
        <w:rPr>
          <w:rFonts w:hint="eastAsia" w:ascii="仿宋_GB2312"/>
          <w:kern w:val="0"/>
          <w:sz w:val="32"/>
        </w:rPr>
        <w:t>做好创新性工作的总结提炼，及时总结出好的经验和做法并向上级进行报告，</w:t>
      </w:r>
      <w:r>
        <w:rPr>
          <w:rFonts w:hint="eastAsia" w:ascii="仿宋_GB2312" w:hAnsi="仿宋_GB2312" w:cs="仿宋_GB2312"/>
          <w:kern w:val="0"/>
          <w:sz w:val="32"/>
        </w:rPr>
        <w:t>国家发展改革委、省营转办、市营转办等均</w:t>
      </w:r>
      <w:r>
        <w:rPr>
          <w:rFonts w:hint="eastAsia" w:ascii="仿宋_GB2312"/>
          <w:kern w:val="0"/>
          <w:sz w:val="32"/>
        </w:rPr>
        <w:t>开设了</w:t>
      </w:r>
      <w:r>
        <w:rPr>
          <w:rFonts w:hint="eastAsia" w:ascii="仿宋_GB2312"/>
          <w:b w:val="0"/>
          <w:bCs/>
          <w:kern w:val="0"/>
          <w:sz w:val="32"/>
        </w:rPr>
        <w:t>“优化营商环境”专栏</w:t>
      </w:r>
      <w:r>
        <w:rPr>
          <w:rFonts w:hint="eastAsia" w:ascii="仿宋_GB2312"/>
          <w:kern w:val="0"/>
          <w:sz w:val="32"/>
        </w:rPr>
        <w:t>，各参评部门可以将市场监管指标方面工作中的好经验、好做法或新闻报道及时发送到各二级指标牵头单位，各二级指标牵头部门汇总后同本部门材料统一报市场监管指标专班公务邮箱。</w:t>
      </w:r>
      <w:r>
        <w:rPr>
          <w:rFonts w:hint="eastAsia" w:ascii="仿宋_GB2312"/>
          <w:b/>
          <w:kern w:val="0"/>
          <w:sz w:val="32"/>
        </w:rPr>
        <w:t>二是</w:t>
      </w:r>
      <w:r>
        <w:rPr>
          <w:rFonts w:hint="eastAsia" w:ascii="仿宋_GB2312"/>
          <w:kern w:val="0"/>
          <w:sz w:val="32"/>
        </w:rPr>
        <w:t>加大对日常工作的总结提炼，要善于在平凡岗位工作中发现不平凡的闪光点，尤其是企业认可的、期盼的优秀工作经验。</w:t>
      </w:r>
      <w:r>
        <w:rPr>
          <w:rFonts w:hint="eastAsia" w:ascii="仿宋_GB2312"/>
          <w:b/>
          <w:kern w:val="0"/>
          <w:sz w:val="32"/>
        </w:rPr>
        <w:t>三是</w:t>
      </w:r>
      <w:r>
        <w:rPr>
          <w:rFonts w:hint="eastAsia" w:ascii="仿宋_GB2312"/>
          <w:kern w:val="0"/>
          <w:sz w:val="32"/>
        </w:rPr>
        <w:t>做好市场监管工作典型经验的可复制可推广，学习借鉴兄弟地区、区县先进经验做法，提升本部门本系统的业务水平和为企服务能力，同时将本部门、单位可复制可推广的市场监管工作经验推向全市、全省乃至全国。</w:t>
      </w:r>
    </w:p>
    <w:p>
      <w:pPr>
        <w:adjustRightInd w:val="0"/>
        <w:snapToGrid w:val="0"/>
        <w:spacing w:line="640" w:lineRule="exact"/>
        <w:ind w:firstLine="643" w:firstLineChars="200"/>
        <w:rPr>
          <w:rFonts w:hint="eastAsia" w:ascii="仿宋_GB2312" w:hAnsi="仿宋_GB2312" w:cs="仿宋_GB2312"/>
          <w:color w:val="FF0000"/>
          <w:kern w:val="0"/>
          <w:sz w:val="32"/>
        </w:rPr>
      </w:pPr>
      <w:r>
        <w:rPr>
          <w:rFonts w:hint="eastAsia" w:ascii="楷体_GB2312" w:hAnsi="Times New Roman" w:eastAsia="楷体_GB2312" w:cs="Times New Roman"/>
          <w:b/>
          <w:kern w:val="0"/>
          <w:sz w:val="32"/>
        </w:rPr>
        <w:t>（七）整理指标档案。</w:t>
      </w:r>
      <w:r>
        <w:rPr>
          <w:rFonts w:hint="eastAsia" w:ascii="FZKTK--GBK1-0" w:hAnsi="FZKTK--GBK1-0"/>
          <w:kern w:val="0"/>
          <w:sz w:val="32"/>
        </w:rPr>
        <w:t>各参评部门</w:t>
      </w:r>
      <w:r>
        <w:rPr>
          <w:rFonts w:hint="eastAsia" w:ascii="仿宋_GB2312" w:hAnsi="仿宋_GB2312" w:cs="仿宋_GB2312"/>
          <w:kern w:val="0"/>
          <w:sz w:val="32"/>
        </w:rPr>
        <w:t>要做好市场监管工作档案的分类管理，做好迎评佐证材料准备。</w:t>
      </w:r>
      <w:r>
        <w:rPr>
          <w:rFonts w:hint="eastAsia" w:ascii="仿宋_GB2312" w:hAnsi="仿宋_GB2312" w:cs="仿宋_GB2312"/>
          <w:b/>
          <w:kern w:val="0"/>
          <w:sz w:val="32"/>
        </w:rPr>
        <w:t>一是</w:t>
      </w:r>
      <w:r>
        <w:rPr>
          <w:rFonts w:hint="eastAsia" w:ascii="仿宋_GB2312" w:hAnsi="仿宋_GB2312" w:cs="仿宋_GB2312"/>
          <w:kern w:val="0"/>
          <w:sz w:val="32"/>
        </w:rPr>
        <w:t>要认真梳理自2020年1月1日以来发布的市场监管政策文件、措施规范、工作指南、有关会议、活动宣传、执法记录等等的文档、图片、影音等资料，形成市场监管指标专题档案，同时对有关档案按照各二级指标分类保存。</w:t>
      </w:r>
      <w:r>
        <w:rPr>
          <w:rFonts w:hint="eastAsia" w:ascii="仿宋_GB2312" w:hAnsi="仿宋_GB2312" w:cs="仿宋_GB2312"/>
          <w:b/>
          <w:kern w:val="0"/>
          <w:sz w:val="32"/>
        </w:rPr>
        <w:t>二是</w:t>
      </w:r>
      <w:r>
        <w:rPr>
          <w:rFonts w:hint="eastAsia" w:ascii="仿宋_GB2312" w:hAnsi="仿宋_GB2312" w:cs="仿宋_GB2312"/>
          <w:kern w:val="0"/>
          <w:sz w:val="32"/>
        </w:rPr>
        <w:t>要加强</w:t>
      </w:r>
      <w:r>
        <w:rPr>
          <w:rFonts w:hint="eastAsia" w:ascii="仿宋_GB2312" w:hAnsi="仿宋_GB2312" w:cs="仿宋_GB2312"/>
          <w:kern w:val="0"/>
          <w:sz w:val="32"/>
          <w:lang w:val="en-US" w:eastAsia="zh-CN"/>
        </w:rPr>
        <w:t>自身</w:t>
      </w:r>
      <w:r>
        <w:rPr>
          <w:rFonts w:hint="eastAsia" w:ascii="仿宋_GB2312" w:hAnsi="仿宋_GB2312" w:cs="仿宋_GB2312"/>
          <w:kern w:val="0"/>
          <w:sz w:val="32"/>
        </w:rPr>
        <w:t>日常工作资料的收集整理，及时补充完善指标档案</w:t>
      </w:r>
      <w:r>
        <w:rPr>
          <w:rFonts w:hint="eastAsia" w:ascii="仿宋_GB2312" w:hAnsi="仿宋_GB2312" w:cs="仿宋_GB2312"/>
          <w:kern w:val="0"/>
          <w:sz w:val="32"/>
          <w:lang w:eastAsia="zh-CN"/>
        </w:rPr>
        <w:t>，</w:t>
      </w:r>
      <w:r>
        <w:rPr>
          <w:rFonts w:hint="eastAsia" w:ascii="仿宋_GB2312" w:hAnsi="仿宋_GB2312" w:cs="仿宋_GB2312"/>
          <w:kern w:val="0"/>
          <w:sz w:val="32"/>
          <w:lang w:val="en-US" w:eastAsia="zh-CN"/>
        </w:rPr>
        <w:t>做到能够随时提供相关迎查材料</w:t>
      </w:r>
      <w:r>
        <w:rPr>
          <w:rFonts w:hint="eastAsia" w:ascii="仿宋_GB2312" w:hAnsi="仿宋_GB2312" w:cs="仿宋_GB2312"/>
          <w:kern w:val="0"/>
          <w:sz w:val="32"/>
        </w:rPr>
        <w:t>。</w:t>
      </w:r>
    </w:p>
    <w:p>
      <w:pPr>
        <w:keepNext w:val="0"/>
        <w:keepLines w:val="0"/>
        <w:pageBreakBefore w:val="0"/>
        <w:widowControl w:val="0"/>
        <w:kinsoku/>
        <w:wordWrap/>
        <w:overflowPunct/>
        <w:topLinePunct w:val="0"/>
        <w:autoSpaceDE/>
        <w:autoSpaceDN/>
        <w:bidi w:val="0"/>
        <w:adjustRightInd w:val="0"/>
        <w:snapToGrid w:val="0"/>
        <w:spacing w:line="640" w:lineRule="exact"/>
        <w:ind w:right="0" w:firstLine="640" w:firstLineChars="200"/>
        <w:textAlignment w:val="auto"/>
        <w:outlineLvl w:val="9"/>
        <w:rPr>
          <w:rFonts w:ascii="黑体" w:hAnsi="黑体" w:eastAsia="黑体"/>
          <w:kern w:val="0"/>
          <w:sz w:val="32"/>
        </w:rPr>
      </w:pPr>
      <w:r>
        <w:rPr>
          <w:rFonts w:hint="eastAsia" w:ascii="黑体" w:hAnsi="黑体" w:eastAsia="黑体"/>
          <w:kern w:val="0"/>
          <w:sz w:val="32"/>
        </w:rPr>
        <w:t>四、保障机制</w:t>
      </w:r>
    </w:p>
    <w:p>
      <w:pPr>
        <w:keepNext w:val="0"/>
        <w:keepLines w:val="0"/>
        <w:pageBreakBefore w:val="0"/>
        <w:widowControl w:val="0"/>
        <w:kinsoku/>
        <w:wordWrap/>
        <w:overflowPunct/>
        <w:topLinePunct w:val="0"/>
        <w:autoSpaceDE/>
        <w:autoSpaceDN/>
        <w:bidi w:val="0"/>
        <w:spacing w:line="640" w:lineRule="exact"/>
        <w:ind w:right="0" w:firstLine="565" w:firstLineChars="176"/>
        <w:textAlignment w:val="auto"/>
        <w:outlineLvl w:val="9"/>
        <w:rPr>
          <w:rFonts w:hint="eastAsia" w:ascii="仿宋_GB2312" w:hAnsi="仿宋_GB2312" w:eastAsia="仿宋_GB2312" w:cs="仿宋_GB2312"/>
          <w:color w:val="FF0000"/>
          <w:kern w:val="0"/>
          <w:sz w:val="32"/>
          <w:lang w:eastAsia="zh-CN"/>
        </w:rPr>
      </w:pPr>
      <w:r>
        <w:rPr>
          <w:rFonts w:hint="eastAsia" w:ascii="楷体_GB2312" w:hAnsi="Times New Roman" w:eastAsia="楷体_GB2312" w:cs="Times New Roman"/>
          <w:b/>
          <w:kern w:val="0"/>
          <w:sz w:val="32"/>
        </w:rPr>
        <w:t>（一）加强组织领导。</w:t>
      </w:r>
      <w:r>
        <w:rPr>
          <w:rFonts w:hint="eastAsia" w:ascii="仿宋_GB2312" w:hAnsi="仿宋_GB2312" w:cs="仿宋_GB2312"/>
          <w:kern w:val="0"/>
          <w:sz w:val="32"/>
        </w:rPr>
        <w:t>为整体推进指标工作，市场监管专班将采取集中办公与分散推进相结合的工作模式，根据迎评工作需要适时抽调各参评部门人员进行集中办公，各参评部门要做好配合工作，选拔优秀业务人员参加迎评工作。要建立市场监管指标推进工作领导机制，主要负责同志亲自抓，分管负责同志靠上抓，层层压紧压实责任，同时明确本部门市场监管指标牵头科室和联络人，联络人负责市场监管指标迎评工作的组织协调及问卷填报等工作。</w:t>
      </w:r>
      <w:r>
        <w:rPr>
          <w:rFonts w:hint="eastAsia" w:ascii="仿宋_GB2312" w:hAnsi="仿宋_GB2312" w:cs="仿宋_GB2312"/>
          <w:kern w:val="0"/>
          <w:sz w:val="32"/>
          <w:lang w:eastAsia="zh-CN"/>
        </w:rPr>
        <w:t>市场监管</w:t>
      </w:r>
      <w:r>
        <w:rPr>
          <w:rFonts w:hint="eastAsia" w:ascii="仿宋_GB2312" w:hAnsi="仿宋_GB2312" w:cs="仿宋_GB2312"/>
          <w:kern w:val="0"/>
          <w:sz w:val="32"/>
        </w:rPr>
        <w:t>指标</w:t>
      </w:r>
      <w:r>
        <w:rPr>
          <w:rFonts w:hint="eastAsia" w:ascii="仿宋_GB2312" w:hAnsi="仿宋_GB2312" w:cs="仿宋_GB2312"/>
          <w:kern w:val="0"/>
          <w:sz w:val="32"/>
          <w:lang w:eastAsia="zh-CN"/>
        </w:rPr>
        <w:t>各单位</w:t>
      </w:r>
      <w:r>
        <w:rPr>
          <w:rFonts w:hint="eastAsia" w:ascii="仿宋_GB2312" w:hAnsi="仿宋_GB2312" w:cs="仿宋_GB2312"/>
          <w:kern w:val="0"/>
          <w:sz w:val="32"/>
        </w:rPr>
        <w:t>联络员报名表（附件2）请于10月</w:t>
      </w:r>
      <w:r>
        <w:rPr>
          <w:rFonts w:hint="eastAsia" w:ascii="仿宋_GB2312" w:hAnsi="仿宋_GB2312" w:cs="仿宋_GB2312"/>
          <w:kern w:val="0"/>
          <w:sz w:val="32"/>
          <w:lang w:val="en-US" w:eastAsia="zh-CN"/>
        </w:rPr>
        <w:t>22</w:t>
      </w:r>
      <w:r>
        <w:rPr>
          <w:rFonts w:hint="eastAsia" w:ascii="仿宋_GB2312" w:hAnsi="仿宋_GB2312" w:cs="仿宋_GB2312"/>
          <w:kern w:val="0"/>
          <w:sz w:val="32"/>
        </w:rPr>
        <w:t>日（星期</w:t>
      </w:r>
      <w:r>
        <w:rPr>
          <w:rFonts w:hint="eastAsia" w:ascii="仿宋_GB2312" w:hAnsi="仿宋_GB2312" w:cs="仿宋_GB2312"/>
          <w:kern w:val="0"/>
          <w:sz w:val="32"/>
          <w:lang w:val="en-US" w:eastAsia="zh-CN"/>
        </w:rPr>
        <w:t>五</w:t>
      </w:r>
      <w:r>
        <w:rPr>
          <w:rFonts w:hint="eastAsia" w:ascii="仿宋_GB2312" w:hAnsi="仿宋_GB2312" w:cs="仿宋_GB2312"/>
          <w:kern w:val="0"/>
          <w:sz w:val="32"/>
        </w:rPr>
        <w:t>）17：00前发送至</w:t>
      </w:r>
      <w:r>
        <w:rPr>
          <w:rFonts w:hint="eastAsia" w:ascii="仿宋_GB2312" w:hAnsi="仿宋_GB2312" w:cs="仿宋_GB2312"/>
          <w:kern w:val="0"/>
          <w:sz w:val="32"/>
          <w:lang w:eastAsia="zh-CN"/>
        </w:rPr>
        <w:t>历城</w:t>
      </w:r>
      <w:r>
        <w:rPr>
          <w:rFonts w:hint="eastAsia" w:ascii="仿宋_GB2312" w:hAnsi="仿宋_GB2312" w:cs="仿宋_GB2312"/>
          <w:kern w:val="0"/>
          <w:sz w:val="32"/>
        </w:rPr>
        <w:t>区优化营商环境市场监管指标专班公务邮箱，同时加入“</w:t>
      </w:r>
      <w:r>
        <w:rPr>
          <w:rFonts w:hint="eastAsia" w:ascii="仿宋_GB2312" w:hAnsi="仿宋_GB2312" w:cs="仿宋_GB2312"/>
          <w:kern w:val="0"/>
          <w:sz w:val="32"/>
          <w:lang w:eastAsia="zh-CN"/>
        </w:rPr>
        <w:t>历城区</w:t>
      </w:r>
      <w:r>
        <w:rPr>
          <w:rFonts w:hint="eastAsia" w:ascii="仿宋_GB2312" w:hAnsi="仿宋_GB2312" w:cs="仿宋_GB2312"/>
          <w:kern w:val="0"/>
          <w:sz w:val="32"/>
        </w:rPr>
        <w:t>市场监管指标”群</w:t>
      </w:r>
      <w:r>
        <w:rPr>
          <w:rFonts w:hint="eastAsia" w:ascii="仿宋_GB2312" w:hAnsi="仿宋_GB2312" w:cs="仿宋_GB2312"/>
          <w:kern w:val="0"/>
          <w:sz w:val="32"/>
          <w:lang w:eastAsia="zh-CN"/>
        </w:rPr>
        <w:t>。</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ascii="仿宋_GB2312"/>
          <w:kern w:val="0"/>
          <w:sz w:val="32"/>
        </w:rPr>
      </w:pPr>
      <w:r>
        <w:rPr>
          <w:rFonts w:hint="eastAsia" w:ascii="楷体_GB2312" w:hAnsi="Times New Roman" w:eastAsia="楷体_GB2312" w:cs="Times New Roman"/>
          <w:b/>
          <w:kern w:val="0"/>
          <w:sz w:val="32"/>
        </w:rPr>
        <w:t>（二）强化工作保障。</w:t>
      </w:r>
      <w:r>
        <w:rPr>
          <w:rFonts w:hint="eastAsia" w:ascii="仿宋_GB2312" w:hAnsi="仿宋_GB2312" w:cs="仿宋_GB2312"/>
          <w:kern w:val="0"/>
          <w:sz w:val="32"/>
        </w:rPr>
        <w:t>区各参评部门</w:t>
      </w:r>
      <w:r>
        <w:rPr>
          <w:rFonts w:hint="eastAsia" w:ascii="仿宋_GB2312"/>
          <w:kern w:val="0"/>
          <w:sz w:val="32"/>
        </w:rPr>
        <w:t>要对市场监管指标急需推进的工作强化保障，加快工作进度，确保工作成效。</w:t>
      </w:r>
      <w:r>
        <w:rPr>
          <w:rFonts w:hint="eastAsia" w:ascii="仿宋_GB2312"/>
          <w:b/>
          <w:kern w:val="0"/>
          <w:sz w:val="32"/>
        </w:rPr>
        <w:t>一是</w:t>
      </w:r>
      <w:r>
        <w:rPr>
          <w:rFonts w:hint="eastAsia" w:ascii="仿宋_GB2312"/>
          <w:kern w:val="0"/>
          <w:sz w:val="32"/>
        </w:rPr>
        <w:t>做好人员保障。市场监管专班、区各参评部门要确定参与迎评人员并保障人员队伍的稳定，人员如需调整必须做好工作的交接，确保新加入人员能够熟练应对迎评工作要求并做好指标样本企业所需人员配置。</w:t>
      </w:r>
      <w:r>
        <w:rPr>
          <w:rFonts w:hint="eastAsia" w:ascii="仿宋_GB2312"/>
          <w:b/>
          <w:kern w:val="0"/>
          <w:sz w:val="32"/>
        </w:rPr>
        <w:t>二是</w:t>
      </w:r>
      <w:r>
        <w:rPr>
          <w:rFonts w:hint="eastAsia" w:ascii="仿宋_GB2312"/>
          <w:kern w:val="0"/>
          <w:sz w:val="32"/>
        </w:rPr>
        <w:t>做好指标工作财物保障。各级各参评部门要对市场监管工作中急需的资金设备等，给予有利支持，保障市场监管各项工作有序开展。</w:t>
      </w:r>
    </w:p>
    <w:p>
      <w:pPr>
        <w:keepNext w:val="0"/>
        <w:keepLines w:val="0"/>
        <w:pageBreakBefore w:val="0"/>
        <w:kinsoku/>
        <w:wordWrap/>
        <w:overflowPunct/>
        <w:topLinePunct w:val="0"/>
        <w:autoSpaceDE/>
        <w:autoSpaceDN/>
        <w:bidi w:val="0"/>
        <w:adjustRightInd w:val="0"/>
        <w:snapToGrid w:val="0"/>
        <w:spacing w:line="640" w:lineRule="exact"/>
        <w:ind w:firstLine="643" w:firstLineChars="200"/>
        <w:textAlignment w:val="auto"/>
        <w:outlineLvl w:val="9"/>
        <w:rPr>
          <w:rFonts w:ascii="仿宋_GB2312"/>
          <w:kern w:val="0"/>
          <w:sz w:val="32"/>
        </w:rPr>
      </w:pPr>
      <w:r>
        <w:rPr>
          <w:rFonts w:hint="eastAsia" w:ascii="楷体_GB2312" w:hAnsi="Times New Roman" w:eastAsia="楷体_GB2312" w:cs="Times New Roman"/>
          <w:b/>
          <w:kern w:val="0"/>
          <w:sz w:val="32"/>
        </w:rPr>
        <w:t>（三）加强督导考核。</w:t>
      </w:r>
      <w:r>
        <w:rPr>
          <w:rFonts w:hint="eastAsia" w:ascii="仿宋_GB2312"/>
          <w:b/>
          <w:kern w:val="0"/>
          <w:sz w:val="32"/>
        </w:rPr>
        <w:t>一是</w:t>
      </w:r>
      <w:r>
        <w:rPr>
          <w:rFonts w:hint="eastAsia" w:ascii="仿宋_GB2312"/>
          <w:kern w:val="0"/>
          <w:sz w:val="32"/>
        </w:rPr>
        <w:t>加强调度督导。市场监管专班将加强工作推进调度，对在营商环境评价工作中存在推诿扯皮、不作为、不担当等情况的部门、人员，济南市优化营商环境提升行动工作专班将报送市纪检监委机关、市政府督查室等，依法依规予以处理。</w:t>
      </w:r>
      <w:r>
        <w:rPr>
          <w:rFonts w:hint="eastAsia" w:ascii="仿宋_GB2312"/>
          <w:b/>
          <w:kern w:val="0"/>
          <w:sz w:val="32"/>
        </w:rPr>
        <w:t>二是</w:t>
      </w:r>
      <w:r>
        <w:rPr>
          <w:rFonts w:hint="eastAsia" w:ascii="仿宋_GB2312"/>
          <w:kern w:val="0"/>
          <w:sz w:val="32"/>
        </w:rPr>
        <w:t>纳入高质量发展考核。济南市优化营商环境提升行动工作专班将对我区各参评部门在营商环境评价过程中工作落实情况、按时反馈情况、工作落实质量等进行统计，作为本年度高质量发展考核依据，请各参评部门和领导要高度重视营商环境评价工作，按时推进指标工作。</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ascii="仿宋_GB2312"/>
          <w:kern w:val="0"/>
          <w:sz w:val="32"/>
        </w:rPr>
      </w:pP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kern w:val="0"/>
          <w:sz w:val="32"/>
          <w:lang w:eastAsia="zh-CN"/>
        </w:rPr>
      </w:pPr>
      <w:r>
        <w:rPr>
          <w:rFonts w:ascii="仿宋_GB2312"/>
          <w:kern w:val="0"/>
          <w:sz w:val="32"/>
        </w:rPr>
        <w:t>联</w:t>
      </w:r>
      <w:r>
        <w:rPr>
          <w:rFonts w:hint="eastAsia" w:ascii="仿宋_GB2312"/>
          <w:kern w:val="0"/>
          <w:sz w:val="32"/>
        </w:rPr>
        <w:t xml:space="preserve"> </w:t>
      </w:r>
      <w:r>
        <w:rPr>
          <w:rFonts w:ascii="仿宋_GB2312"/>
          <w:kern w:val="0"/>
          <w:sz w:val="32"/>
        </w:rPr>
        <w:t>系</w:t>
      </w:r>
      <w:r>
        <w:rPr>
          <w:rFonts w:hint="eastAsia" w:ascii="仿宋_GB2312"/>
          <w:kern w:val="0"/>
          <w:sz w:val="32"/>
        </w:rPr>
        <w:t xml:space="preserve"> </w:t>
      </w:r>
      <w:r>
        <w:rPr>
          <w:rFonts w:ascii="仿宋_GB2312"/>
          <w:kern w:val="0"/>
          <w:sz w:val="32"/>
        </w:rPr>
        <w:t>人</w:t>
      </w:r>
      <w:r>
        <w:rPr>
          <w:rFonts w:hint="eastAsia" w:ascii="仿宋_GB2312"/>
          <w:kern w:val="0"/>
          <w:sz w:val="32"/>
        </w:rPr>
        <w:t>：</w:t>
      </w:r>
      <w:r>
        <w:rPr>
          <w:rFonts w:hint="eastAsia" w:ascii="仿宋_GB2312"/>
          <w:kern w:val="0"/>
          <w:sz w:val="32"/>
          <w:lang w:eastAsia="zh-CN"/>
        </w:rPr>
        <w:t>宋本成</w:t>
      </w:r>
      <w:r>
        <w:rPr>
          <w:rFonts w:hint="eastAsia" w:ascii="仿宋_GB2312"/>
          <w:kern w:val="0"/>
          <w:sz w:val="32"/>
        </w:rPr>
        <w:t xml:space="preserve">  </w:t>
      </w:r>
      <w:r>
        <w:rPr>
          <w:rFonts w:hint="eastAsia" w:ascii="仿宋_GB2312"/>
          <w:kern w:val="0"/>
          <w:sz w:val="32"/>
          <w:lang w:eastAsia="zh-CN"/>
        </w:rPr>
        <w:t>王笑</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eastAsia="仿宋_GB2312"/>
          <w:kern w:val="0"/>
          <w:sz w:val="32"/>
          <w:lang w:val="en-US" w:eastAsia="zh-CN"/>
        </w:rPr>
      </w:pPr>
      <w:r>
        <w:rPr>
          <w:rFonts w:hint="eastAsia" w:ascii="仿宋_GB2312"/>
          <w:kern w:val="0"/>
          <w:sz w:val="32"/>
        </w:rPr>
        <w:t>联系电话：</w:t>
      </w:r>
      <w:r>
        <w:rPr>
          <w:rFonts w:hint="eastAsia" w:ascii="仿宋_GB2312"/>
          <w:kern w:val="0"/>
          <w:sz w:val="32"/>
          <w:lang w:val="en-US" w:eastAsia="zh-CN"/>
        </w:rPr>
        <w:t>88065289</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kern w:val="0"/>
          <w:sz w:val="32"/>
        </w:rPr>
      </w:pPr>
      <w:r>
        <w:rPr>
          <w:rFonts w:hint="eastAsia" w:ascii="仿宋_GB2312"/>
          <w:kern w:val="0"/>
          <w:sz w:val="32"/>
          <w:lang w:eastAsia="zh-CN"/>
        </w:rPr>
        <w:t>历城区</w:t>
      </w:r>
      <w:r>
        <w:rPr>
          <w:rFonts w:hint="eastAsia" w:ascii="仿宋_GB2312"/>
          <w:kern w:val="0"/>
          <w:sz w:val="32"/>
        </w:rPr>
        <w:t>市场监管指标专班公务邮箱：</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ascii="仿宋_GB2312"/>
          <w:kern w:val="0"/>
          <w:sz w:val="32"/>
        </w:rPr>
      </w:pPr>
      <w:r>
        <w:rPr>
          <w:rFonts w:hint="eastAsia" w:ascii="仿宋_GB2312"/>
          <w:kern w:val="0"/>
          <w:sz w:val="32"/>
        </w:rPr>
        <w:t>jnslcqsjjxyjgk@jn.shandong.cn</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ascii="仿宋_GB2312"/>
          <w:kern w:val="0"/>
          <w:sz w:val="32"/>
        </w:rPr>
      </w:pPr>
      <w:r>
        <w:rPr>
          <w:rFonts w:hint="eastAsia" w:ascii="仿宋_GB2312"/>
          <w:kern w:val="0"/>
          <w:sz w:val="32"/>
        </w:rPr>
        <w:t>附件：1.市场监管指标牵头及涉及部门名单</w:t>
      </w:r>
    </w:p>
    <w:p>
      <w:pPr>
        <w:keepNext w:val="0"/>
        <w:keepLines w:val="0"/>
        <w:pageBreakBefore w:val="0"/>
        <w:kinsoku/>
        <w:wordWrap/>
        <w:overflowPunct/>
        <w:topLinePunct w:val="0"/>
        <w:autoSpaceDE/>
        <w:autoSpaceDN/>
        <w:bidi w:val="0"/>
        <w:adjustRightInd w:val="0"/>
        <w:snapToGrid w:val="0"/>
        <w:spacing w:line="640" w:lineRule="exact"/>
        <w:ind w:firstLine="1600" w:firstLineChars="500"/>
        <w:textAlignment w:val="auto"/>
        <w:outlineLvl w:val="9"/>
        <w:rPr>
          <w:rFonts w:hint="eastAsia" w:ascii="仿宋_GB2312"/>
          <w:kern w:val="0"/>
          <w:sz w:val="32"/>
        </w:rPr>
      </w:pPr>
      <w:r>
        <w:rPr>
          <w:rFonts w:hint="eastAsia" w:ascii="仿宋_GB2312"/>
          <w:kern w:val="0"/>
          <w:sz w:val="32"/>
        </w:rPr>
        <w:t>2.市场监管指标联络员报名表</w:t>
      </w: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kern w:val="0"/>
          <w:sz w:val="32"/>
        </w:rPr>
      </w:pPr>
    </w:p>
    <w:p>
      <w:pPr>
        <w:keepNext w:val="0"/>
        <w:keepLines w:val="0"/>
        <w:pageBreakBefore w:val="0"/>
        <w:kinsoku/>
        <w:wordWrap/>
        <w:overflowPunct/>
        <w:topLinePunct w:val="0"/>
        <w:autoSpaceDE/>
        <w:autoSpaceDN/>
        <w:bidi w:val="0"/>
        <w:adjustRightInd w:val="0"/>
        <w:snapToGrid w:val="0"/>
        <w:spacing w:line="640" w:lineRule="exact"/>
        <w:ind w:firstLine="640" w:firstLineChars="200"/>
        <w:textAlignment w:val="auto"/>
        <w:outlineLvl w:val="9"/>
        <w:rPr>
          <w:rFonts w:hint="eastAsia" w:ascii="仿宋_GB2312"/>
          <w:kern w:val="0"/>
          <w:sz w:val="32"/>
        </w:rPr>
      </w:pPr>
    </w:p>
    <w:p>
      <w:pPr>
        <w:keepNext w:val="0"/>
        <w:keepLines w:val="0"/>
        <w:pageBreakBefore w:val="0"/>
        <w:kinsoku/>
        <w:wordWrap/>
        <w:overflowPunct/>
        <w:topLinePunct w:val="0"/>
        <w:autoSpaceDE/>
        <w:autoSpaceDN/>
        <w:bidi w:val="0"/>
        <w:spacing w:line="640" w:lineRule="exact"/>
        <w:ind w:right="640" w:firstLine="2720" w:firstLineChars="850"/>
        <w:textAlignment w:val="auto"/>
        <w:outlineLvl w:val="9"/>
        <w:rPr>
          <w:rFonts w:ascii="仿宋_GB2312" w:hAnsi="仿宋_GB2312" w:cs="仿宋_GB2312"/>
          <w:sz w:val="32"/>
        </w:rPr>
      </w:pPr>
      <w:r>
        <w:rPr>
          <w:rFonts w:hint="eastAsia" w:ascii="仿宋_GB2312" w:hAnsi="仿宋_GB2312" w:cs="仿宋_GB2312"/>
          <w:sz w:val="32"/>
          <w:lang w:eastAsia="zh-CN"/>
        </w:rPr>
        <w:t>历城</w:t>
      </w:r>
      <w:r>
        <w:rPr>
          <w:rFonts w:hint="eastAsia" w:ascii="仿宋_GB2312" w:hAnsi="仿宋_GB2312" w:cs="仿宋_GB2312"/>
          <w:sz w:val="32"/>
        </w:rPr>
        <w:t>区优化营商环境市场监管指标专班</w:t>
      </w:r>
    </w:p>
    <w:p>
      <w:pPr>
        <w:keepNext w:val="0"/>
        <w:keepLines w:val="0"/>
        <w:pageBreakBefore w:val="0"/>
        <w:kinsoku/>
        <w:wordWrap/>
        <w:overflowPunct/>
        <w:topLinePunct w:val="0"/>
        <w:autoSpaceDE/>
        <w:autoSpaceDN/>
        <w:bidi w:val="0"/>
        <w:adjustRightInd w:val="0"/>
        <w:spacing w:line="640" w:lineRule="exact"/>
        <w:jc w:val="left"/>
        <w:textAlignment w:val="auto"/>
        <w:outlineLvl w:val="9"/>
        <w:rPr>
          <w:rFonts w:ascii="仿宋_GB2312"/>
          <w:sz w:val="32"/>
        </w:rPr>
        <w:sectPr>
          <w:footerReference r:id="rId3" w:type="default"/>
          <w:footerReference r:id="rId4" w:type="even"/>
          <w:pgSz w:w="11906" w:h="16838"/>
          <w:pgMar w:top="1417" w:right="1417" w:bottom="1417" w:left="1417" w:header="851" w:footer="992" w:gutter="0"/>
          <w:pgNumType w:fmt="decimal"/>
          <w:cols w:space="720" w:num="1"/>
          <w:docGrid w:type="lines" w:linePitch="312" w:charSpace="0"/>
        </w:sectPr>
      </w:pPr>
      <w:r>
        <w:rPr>
          <w:rFonts w:hint="eastAsia" w:ascii="仿宋_GB2312"/>
          <w:kern w:val="0"/>
          <w:sz w:val="32"/>
        </w:rPr>
        <w:t xml:space="preserve">                      </w:t>
      </w:r>
      <w:r>
        <w:rPr>
          <w:rFonts w:hint="eastAsia" w:ascii="仿宋_GB2312"/>
          <w:kern w:val="0"/>
          <w:sz w:val="32"/>
          <w:lang w:val="en-US" w:eastAsia="zh-CN"/>
        </w:rPr>
        <w:t xml:space="preserve">     </w:t>
      </w:r>
      <w:r>
        <w:rPr>
          <w:rFonts w:hint="eastAsia" w:ascii="仿宋_GB2312"/>
          <w:kern w:val="0"/>
          <w:sz w:val="32"/>
        </w:rPr>
        <w:t>2021年10月</w:t>
      </w:r>
      <w:r>
        <w:rPr>
          <w:rFonts w:hint="eastAsia" w:ascii="仿宋_GB2312"/>
          <w:kern w:val="0"/>
          <w:sz w:val="32"/>
          <w:lang w:val="en-US" w:eastAsia="zh-CN"/>
        </w:rPr>
        <w:t>15</w:t>
      </w:r>
      <w:r>
        <w:rPr>
          <w:rFonts w:hint="eastAsia" w:ascii="仿宋_GB2312"/>
          <w:kern w:val="0"/>
          <w:sz w:val="32"/>
        </w:rPr>
        <w:t>日</w:t>
      </w:r>
    </w:p>
    <w:p>
      <w:pPr>
        <w:widowControl/>
        <w:snapToGrid w:val="0"/>
        <w:jc w:val="both"/>
        <w:rPr>
          <w:rFonts w:hint="eastAsia" w:ascii="仿宋_GB2312" w:hAnsi="宋体" w:cs="宋体"/>
          <w:kern w:val="0"/>
          <w:sz w:val="32"/>
          <w:szCs w:val="32"/>
        </w:rPr>
      </w:pPr>
      <w:r>
        <w:rPr>
          <w:rFonts w:hint="eastAsia" w:ascii="仿宋_GB2312" w:hAnsi="宋体" w:cs="宋体"/>
          <w:kern w:val="0"/>
          <w:sz w:val="32"/>
          <w:szCs w:val="32"/>
        </w:rPr>
        <w:t>附件1：</w:t>
      </w:r>
    </w:p>
    <w:p>
      <w:pPr>
        <w:adjustRightInd w:val="0"/>
        <w:jc w:val="center"/>
        <w:rPr>
          <w:rFonts w:ascii="宋体" w:hAnsi="宋体" w:eastAsia="宋体"/>
          <w:b/>
          <w:color w:val="FF0000"/>
          <w:sz w:val="44"/>
          <w:szCs w:val="44"/>
        </w:rPr>
      </w:pPr>
    </w:p>
    <w:p>
      <w:pPr>
        <w:widowControl/>
        <w:snapToGrid w:val="0"/>
        <w:jc w:val="center"/>
        <w:rPr>
          <w:rFonts w:hint="eastAsia" w:ascii="仿宋_GB2312" w:hAnsi="宋体" w:cs="宋体"/>
          <w:kern w:val="0"/>
          <w:sz w:val="44"/>
          <w:szCs w:val="44"/>
        </w:rPr>
      </w:pPr>
      <w:r>
        <w:rPr>
          <w:rFonts w:hint="eastAsia" w:ascii="仿宋_GB2312" w:hAnsi="宋体" w:cs="宋体"/>
          <w:kern w:val="0"/>
          <w:sz w:val="44"/>
          <w:szCs w:val="44"/>
        </w:rPr>
        <w:t>市场监管指标牵头及涉及部门名单</w:t>
      </w:r>
    </w:p>
    <w:p>
      <w:pPr>
        <w:adjustRightInd w:val="0"/>
        <w:jc w:val="left"/>
        <w:rPr>
          <w:rFonts w:ascii="仿宋_GB2312"/>
          <w:sz w:val="32"/>
        </w:rPr>
      </w:pPr>
    </w:p>
    <w:tbl>
      <w:tblPr>
        <w:tblStyle w:val="3"/>
        <w:tblW w:w="146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772"/>
        <w:gridCol w:w="2237"/>
        <w:gridCol w:w="2237"/>
        <w:gridCol w:w="2237"/>
        <w:gridCol w:w="2237"/>
        <w:gridCol w:w="2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09" w:type="dxa"/>
            <w:vMerge w:val="restart"/>
            <w:noWrap w:val="0"/>
            <w:vAlign w:val="center"/>
          </w:tcPr>
          <w:p>
            <w:pPr>
              <w:widowControl/>
              <w:snapToGrid w:val="0"/>
              <w:jc w:val="center"/>
              <w:rPr>
                <w:rFonts w:ascii="黑体" w:hAnsi="黑体" w:eastAsia="黑体" w:cs="宋体"/>
                <w:kern w:val="0"/>
                <w:sz w:val="24"/>
                <w:szCs w:val="24"/>
              </w:rPr>
            </w:pPr>
            <w:r>
              <w:rPr>
                <w:rFonts w:hint="eastAsia" w:ascii="黑体" w:hAnsi="黑体" w:eastAsia="黑体" w:cs="宋体"/>
                <w:kern w:val="0"/>
                <w:sz w:val="24"/>
                <w:szCs w:val="24"/>
              </w:rPr>
              <w:t>序号</w:t>
            </w:r>
          </w:p>
        </w:tc>
        <w:tc>
          <w:tcPr>
            <w:tcW w:w="2772" w:type="dxa"/>
            <w:vMerge w:val="restart"/>
            <w:noWrap/>
            <w:vAlign w:val="center"/>
          </w:tcPr>
          <w:p>
            <w:pPr>
              <w:widowControl/>
              <w:snapToGrid w:val="0"/>
              <w:jc w:val="center"/>
              <w:rPr>
                <w:rFonts w:ascii="黑体" w:hAnsi="黑体" w:eastAsia="黑体" w:cs="宋体"/>
                <w:kern w:val="0"/>
                <w:sz w:val="24"/>
                <w:szCs w:val="24"/>
              </w:rPr>
            </w:pPr>
            <w:r>
              <w:rPr>
                <w:rFonts w:ascii="黑体" w:hAnsi="黑体" w:eastAsia="黑体" w:cs="宋体"/>
                <w:kern w:val="0"/>
                <w:sz w:val="24"/>
                <w:szCs w:val="24"/>
              </w:rPr>
              <mc:AlternateContent>
                <mc:Choice Requires="wps">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1752600" cy="755015"/>
                      <wp:effectExtent l="1905" t="4445" r="17145" b="21590"/>
                      <wp:wrapNone/>
                      <wp:docPr id="2" name="直接箭头连接符 2"/>
                      <wp:cNvGraphicFramePr/>
                      <a:graphic xmlns:a="http://schemas.openxmlformats.org/drawingml/2006/main">
                        <a:graphicData uri="http://schemas.microsoft.com/office/word/2010/wordprocessingShape">
                          <wps:wsp>
                            <wps:cNvCnPr/>
                            <wps:spPr>
                              <a:xfrm>
                                <a:off x="0" y="0"/>
                                <a:ext cx="1752600" cy="75501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15pt;margin-top:0pt;height:59.45pt;width:138pt;z-index:251659264;mso-width-relative:page;mso-height-relative:page;" filled="f" stroked="t" coordsize="21600,21600" o:gfxdata="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J7wkwzXAAAACAEAAA8AAAAAAAAAAQAgAAAAIgAAAGRycy9kb3du&#10;cmV2LnhtbFBLAQIUABQAAAAIAIdO4kC66fMLAAIAAPEDAAAOAAAAAAAAAAEAIAAAACYBAABkcnMv&#10;ZTJvRG9jLnhtbFBLBQYAAAAABgAGAFkBAACYBQAAAAA=&#10;">
                      <v:fill on="f" focussize="0,0"/>
                      <v:stroke color="#000000" joinstyle="round"/>
                      <v:imagedata o:title=""/>
                      <o:lock v:ext="edit" aspectratio="f"/>
                    </v:shape>
                  </w:pict>
                </mc:Fallback>
              </mc:AlternateContent>
            </w:r>
          </w:p>
          <w:p>
            <w:pPr>
              <w:widowControl/>
              <w:snapToGrid w:val="0"/>
              <w:jc w:val="center"/>
              <w:rPr>
                <w:rFonts w:ascii="黑体" w:hAnsi="黑体" w:eastAsia="黑体" w:cs="宋体"/>
                <w:kern w:val="0"/>
                <w:sz w:val="24"/>
                <w:szCs w:val="24"/>
              </w:rPr>
            </w:pPr>
            <w:r>
              <w:rPr>
                <w:rFonts w:hint="eastAsia" w:ascii="黑体" w:hAnsi="黑体" w:eastAsia="黑体" w:cs="宋体"/>
                <w:kern w:val="0"/>
                <w:sz w:val="24"/>
                <w:szCs w:val="24"/>
              </w:rPr>
              <w:t xml:space="preserve">           指标内容</w:t>
            </w:r>
          </w:p>
          <w:p>
            <w:pPr>
              <w:snapToGrid w:val="0"/>
              <w:ind w:firstLine="240" w:firstLineChars="100"/>
              <w:rPr>
                <w:rFonts w:ascii="黑体" w:hAnsi="黑体" w:eastAsia="黑体" w:cs="宋体"/>
                <w:sz w:val="24"/>
                <w:szCs w:val="24"/>
              </w:rPr>
            </w:pPr>
            <w:r>
              <w:rPr>
                <w:rFonts w:hint="eastAsia" w:ascii="黑体" w:hAnsi="黑体" w:eastAsia="黑体" w:cs="宋体"/>
                <w:sz w:val="24"/>
                <w:szCs w:val="24"/>
              </w:rPr>
              <w:t>部门名称</w:t>
            </w:r>
          </w:p>
        </w:tc>
        <w:tc>
          <w:tcPr>
            <w:tcW w:w="2237" w:type="dxa"/>
            <w:vMerge w:val="restart"/>
            <w:noWrap w:val="0"/>
            <w:vAlign w:val="center"/>
          </w:tcPr>
          <w:p>
            <w:pPr>
              <w:widowControl/>
              <w:snapToGrid w:val="0"/>
              <w:jc w:val="center"/>
              <w:rPr>
                <w:rFonts w:ascii="黑体" w:hAnsi="黑体" w:eastAsia="黑体" w:cs="宋体"/>
                <w:kern w:val="0"/>
                <w:sz w:val="24"/>
                <w:szCs w:val="24"/>
              </w:rPr>
            </w:pPr>
            <w:r>
              <w:rPr>
                <w:rFonts w:hint="eastAsia" w:ascii="黑体" w:hAnsi="黑体" w:eastAsia="黑体" w:cs="宋体"/>
                <w:kern w:val="0"/>
                <w:sz w:val="24"/>
                <w:szCs w:val="24"/>
              </w:rPr>
              <w:t>“双随机、一公开”监管覆盖率</w:t>
            </w:r>
          </w:p>
        </w:tc>
        <w:tc>
          <w:tcPr>
            <w:tcW w:w="2237" w:type="dxa"/>
            <w:vMerge w:val="restart"/>
            <w:noWrap w:val="0"/>
            <w:vAlign w:val="center"/>
          </w:tcPr>
          <w:p>
            <w:pPr>
              <w:widowControl/>
              <w:snapToGrid w:val="0"/>
              <w:jc w:val="center"/>
              <w:rPr>
                <w:rFonts w:ascii="黑体" w:hAnsi="黑体" w:eastAsia="黑体" w:cs="宋体"/>
                <w:kern w:val="0"/>
                <w:sz w:val="24"/>
                <w:szCs w:val="24"/>
              </w:rPr>
            </w:pPr>
            <w:r>
              <w:rPr>
                <w:rFonts w:hint="eastAsia" w:ascii="黑体" w:hAnsi="黑体" w:eastAsia="黑体" w:cs="宋体"/>
                <w:kern w:val="0"/>
                <w:sz w:val="24"/>
                <w:szCs w:val="24"/>
              </w:rPr>
              <w:t>信用监管</w:t>
            </w:r>
          </w:p>
        </w:tc>
        <w:tc>
          <w:tcPr>
            <w:tcW w:w="2237" w:type="dxa"/>
            <w:vMerge w:val="restart"/>
            <w:noWrap w:val="0"/>
            <w:vAlign w:val="center"/>
          </w:tcPr>
          <w:p>
            <w:pPr>
              <w:widowControl/>
              <w:snapToGrid w:val="0"/>
              <w:jc w:val="center"/>
              <w:rPr>
                <w:rFonts w:ascii="黑体" w:hAnsi="黑体" w:eastAsia="黑体" w:cs="宋体"/>
                <w:kern w:val="0"/>
                <w:sz w:val="24"/>
                <w:szCs w:val="24"/>
              </w:rPr>
            </w:pPr>
            <w:r>
              <w:rPr>
                <w:rFonts w:hint="eastAsia" w:ascii="黑体" w:hAnsi="黑体" w:eastAsia="黑体" w:cs="宋体"/>
                <w:kern w:val="0"/>
                <w:sz w:val="24"/>
                <w:szCs w:val="24"/>
              </w:rPr>
              <w:t>互联网+监管</w:t>
            </w:r>
          </w:p>
        </w:tc>
        <w:tc>
          <w:tcPr>
            <w:tcW w:w="2237" w:type="dxa"/>
            <w:vMerge w:val="restart"/>
            <w:noWrap w:val="0"/>
            <w:vAlign w:val="center"/>
          </w:tcPr>
          <w:p>
            <w:pPr>
              <w:widowControl/>
              <w:snapToGrid w:val="0"/>
              <w:jc w:val="center"/>
              <w:rPr>
                <w:rFonts w:ascii="黑体" w:hAnsi="黑体" w:eastAsia="黑体" w:cs="宋体"/>
                <w:kern w:val="0"/>
                <w:sz w:val="24"/>
                <w:szCs w:val="24"/>
              </w:rPr>
            </w:pPr>
            <w:r>
              <w:rPr>
                <w:rFonts w:hint="eastAsia" w:ascii="黑体" w:hAnsi="黑体" w:eastAsia="黑体" w:cs="宋体"/>
                <w:kern w:val="0"/>
                <w:sz w:val="24"/>
                <w:szCs w:val="24"/>
              </w:rPr>
              <w:t>监管执法规范度</w:t>
            </w:r>
          </w:p>
        </w:tc>
        <w:tc>
          <w:tcPr>
            <w:tcW w:w="2237" w:type="dxa"/>
            <w:vMerge w:val="restart"/>
            <w:noWrap w:val="0"/>
            <w:vAlign w:val="center"/>
          </w:tcPr>
          <w:p>
            <w:pPr>
              <w:widowControl/>
              <w:snapToGrid w:val="0"/>
              <w:jc w:val="center"/>
              <w:rPr>
                <w:rFonts w:ascii="黑体" w:hAnsi="黑体" w:eastAsia="黑体" w:cs="宋体"/>
                <w:kern w:val="0"/>
                <w:sz w:val="24"/>
                <w:szCs w:val="24"/>
              </w:rPr>
            </w:pPr>
            <w:r>
              <w:rPr>
                <w:rFonts w:hint="eastAsia" w:ascii="黑体" w:hAnsi="黑体" w:eastAsia="黑体" w:cs="宋体"/>
                <w:kern w:val="0"/>
                <w:sz w:val="24"/>
                <w:szCs w:val="24"/>
              </w:rPr>
              <w:t>监管体制机制创新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vMerge w:val="continue"/>
            <w:noWrap w:val="0"/>
            <w:vAlign w:val="center"/>
          </w:tcPr>
          <w:p>
            <w:pPr>
              <w:widowControl/>
              <w:snapToGrid w:val="0"/>
              <w:jc w:val="left"/>
              <w:rPr>
                <w:rFonts w:ascii="黑体" w:hAnsi="黑体" w:eastAsia="黑体" w:cs="宋体"/>
                <w:kern w:val="0"/>
                <w:sz w:val="24"/>
                <w:szCs w:val="24"/>
              </w:rPr>
            </w:pPr>
          </w:p>
        </w:tc>
        <w:tc>
          <w:tcPr>
            <w:tcW w:w="2772" w:type="dxa"/>
            <w:vMerge w:val="continue"/>
            <w:noWrap w:val="0"/>
            <w:vAlign w:val="center"/>
          </w:tcPr>
          <w:p>
            <w:pPr>
              <w:widowControl/>
              <w:snapToGrid w:val="0"/>
              <w:jc w:val="left"/>
              <w:rPr>
                <w:rFonts w:ascii="宋体" w:hAnsi="宋体" w:eastAsia="宋体" w:cs="宋体"/>
                <w:color w:val="000000"/>
                <w:kern w:val="0"/>
                <w:sz w:val="22"/>
                <w:szCs w:val="22"/>
              </w:rPr>
            </w:pPr>
          </w:p>
        </w:tc>
        <w:tc>
          <w:tcPr>
            <w:tcW w:w="2237" w:type="dxa"/>
            <w:vMerge w:val="continue"/>
            <w:noWrap w:val="0"/>
            <w:vAlign w:val="center"/>
          </w:tcPr>
          <w:p>
            <w:pPr>
              <w:widowControl/>
              <w:snapToGrid w:val="0"/>
              <w:jc w:val="left"/>
              <w:rPr>
                <w:rFonts w:ascii="黑体" w:hAnsi="黑体" w:eastAsia="黑体" w:cs="宋体"/>
                <w:kern w:val="0"/>
                <w:sz w:val="24"/>
                <w:szCs w:val="24"/>
              </w:rPr>
            </w:pPr>
          </w:p>
        </w:tc>
        <w:tc>
          <w:tcPr>
            <w:tcW w:w="2237" w:type="dxa"/>
            <w:vMerge w:val="continue"/>
            <w:noWrap w:val="0"/>
            <w:vAlign w:val="center"/>
          </w:tcPr>
          <w:p>
            <w:pPr>
              <w:widowControl/>
              <w:snapToGrid w:val="0"/>
              <w:jc w:val="left"/>
              <w:rPr>
                <w:rFonts w:ascii="黑体" w:hAnsi="黑体" w:eastAsia="黑体" w:cs="宋体"/>
                <w:kern w:val="0"/>
                <w:sz w:val="24"/>
                <w:szCs w:val="24"/>
              </w:rPr>
            </w:pPr>
          </w:p>
        </w:tc>
        <w:tc>
          <w:tcPr>
            <w:tcW w:w="2237" w:type="dxa"/>
            <w:vMerge w:val="continue"/>
            <w:noWrap w:val="0"/>
            <w:vAlign w:val="center"/>
          </w:tcPr>
          <w:p>
            <w:pPr>
              <w:widowControl/>
              <w:snapToGrid w:val="0"/>
              <w:jc w:val="left"/>
              <w:rPr>
                <w:rFonts w:ascii="黑体" w:hAnsi="黑体" w:eastAsia="黑体" w:cs="宋体"/>
                <w:kern w:val="0"/>
                <w:sz w:val="24"/>
                <w:szCs w:val="24"/>
              </w:rPr>
            </w:pPr>
          </w:p>
        </w:tc>
        <w:tc>
          <w:tcPr>
            <w:tcW w:w="2237" w:type="dxa"/>
            <w:vMerge w:val="continue"/>
            <w:noWrap w:val="0"/>
            <w:vAlign w:val="center"/>
          </w:tcPr>
          <w:p>
            <w:pPr>
              <w:widowControl/>
              <w:snapToGrid w:val="0"/>
              <w:jc w:val="left"/>
              <w:rPr>
                <w:rFonts w:ascii="黑体" w:hAnsi="黑体" w:eastAsia="黑体" w:cs="宋体"/>
                <w:kern w:val="0"/>
                <w:sz w:val="24"/>
                <w:szCs w:val="24"/>
              </w:rPr>
            </w:pPr>
          </w:p>
        </w:tc>
        <w:tc>
          <w:tcPr>
            <w:tcW w:w="2237" w:type="dxa"/>
            <w:vMerge w:val="continue"/>
            <w:noWrap w:val="0"/>
            <w:vAlign w:val="center"/>
          </w:tcPr>
          <w:p>
            <w:pPr>
              <w:widowControl/>
              <w:snapToGrid w:val="0"/>
              <w:jc w:val="left"/>
              <w:rPr>
                <w:rFonts w:ascii="黑体" w:hAnsi="黑体" w:eastAsia="黑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709" w:type="dxa"/>
            <w:noWrap w:val="0"/>
            <w:vAlign w:val="center"/>
          </w:tcPr>
          <w:p>
            <w:pPr>
              <w:widowControl/>
              <w:snapToGrid w:val="0"/>
              <w:jc w:val="center"/>
              <w:rPr>
                <w:rFonts w:ascii="仿宋_GB2312" w:hAnsi="宋体" w:cs="宋体"/>
                <w:kern w:val="0"/>
                <w:sz w:val="24"/>
                <w:szCs w:val="24"/>
              </w:rPr>
            </w:pP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牵头部门</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区市场监督管理局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区发展和改革局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区大数据局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区司法局</w:t>
            </w:r>
          </w:p>
        </w:tc>
        <w:tc>
          <w:tcPr>
            <w:tcW w:w="2237" w:type="dxa"/>
            <w:noWrap w:val="0"/>
            <w:vAlign w:val="center"/>
          </w:tcPr>
          <w:p>
            <w:pPr>
              <w:widowControl/>
              <w:snapToGrid w:val="0"/>
              <w:jc w:val="center"/>
              <w:rPr>
                <w:rFonts w:hint="eastAsia" w:ascii="仿宋_GB2312" w:hAnsi="宋体" w:eastAsia="仿宋_GB2312" w:cs="宋体"/>
                <w:kern w:val="0"/>
                <w:sz w:val="24"/>
                <w:szCs w:val="24"/>
                <w:lang w:eastAsia="zh-CN"/>
              </w:rPr>
            </w:pPr>
            <w:r>
              <w:rPr>
                <w:rFonts w:hint="eastAsia" w:ascii="仿宋_GB2312" w:hAnsi="宋体" w:cs="宋体"/>
                <w:kern w:val="0"/>
                <w:sz w:val="24"/>
                <w:szCs w:val="24"/>
              </w:rPr>
              <w:t>区</w:t>
            </w:r>
            <w:r>
              <w:rPr>
                <w:rFonts w:hint="eastAsia" w:ascii="仿宋_GB2312" w:hAnsi="宋体" w:cs="宋体"/>
                <w:kern w:val="0"/>
                <w:sz w:val="24"/>
                <w:szCs w:val="24"/>
                <w:lang w:eastAsia="zh-CN"/>
              </w:rPr>
              <w:t>政府办公室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主要配合部门</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hint="eastAsia" w:ascii="仿宋_GB2312" w:hAnsi="宋体" w:eastAsia="仿宋_GB2312" w:cs="宋体"/>
                <w:kern w:val="0"/>
                <w:sz w:val="24"/>
                <w:szCs w:val="24"/>
                <w:lang w:eastAsia="zh-CN"/>
              </w:rPr>
            </w:pPr>
            <w:r>
              <w:rPr>
                <w:rFonts w:hint="eastAsia" w:ascii="仿宋_GB2312" w:hAnsi="宋体" w:cs="宋体"/>
                <w:kern w:val="0"/>
                <w:sz w:val="24"/>
                <w:szCs w:val="24"/>
              </w:rPr>
              <w:t>区</w:t>
            </w:r>
            <w:r>
              <w:rPr>
                <w:rFonts w:hint="eastAsia" w:ascii="仿宋_GB2312" w:hAnsi="宋体" w:cs="宋体"/>
                <w:kern w:val="0"/>
                <w:sz w:val="24"/>
                <w:szCs w:val="24"/>
                <w:lang w:val="en-US" w:eastAsia="zh-CN"/>
              </w:rPr>
              <w:t>工信局（</w:t>
            </w:r>
            <w:r>
              <w:rPr>
                <w:rFonts w:hint="eastAsia" w:ascii="仿宋_GB2312" w:hAnsi="宋体" w:cs="宋体"/>
                <w:kern w:val="0"/>
                <w:sz w:val="24"/>
                <w:szCs w:val="24"/>
              </w:rPr>
              <w:t>商务局</w:t>
            </w:r>
            <w:r>
              <w:rPr>
                <w:rFonts w:hint="eastAsia" w:ascii="仿宋_GB2312" w:hAnsi="宋体" w:cs="宋体"/>
                <w:kern w:val="0"/>
                <w:sz w:val="24"/>
                <w:szCs w:val="24"/>
                <w:lang w:eastAsia="zh-CN"/>
              </w:rPr>
              <w:t>）</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区政府办公室、区发改局、区司法局、区生态环境分局、区农业农村局、区文化和旅游局、区市场监管局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区纪委监委机关</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区纪委监委机关</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2</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区法院</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区法院</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color w:val="auto"/>
                <w:kern w:val="0"/>
                <w:sz w:val="24"/>
                <w:szCs w:val="24"/>
              </w:rPr>
              <w:t>区委办公室（区档案</w:t>
            </w:r>
            <w:r>
              <w:rPr>
                <w:rFonts w:hint="eastAsia" w:ascii="仿宋_GB2312" w:hAnsi="宋体" w:cs="宋体"/>
                <w:color w:val="auto"/>
                <w:kern w:val="0"/>
                <w:sz w:val="24"/>
                <w:szCs w:val="24"/>
                <w:lang w:val="en-US" w:eastAsia="zh-CN"/>
              </w:rPr>
              <w:t>馆</w:t>
            </w:r>
            <w:r>
              <w:rPr>
                <w:rFonts w:hint="eastAsia" w:ascii="仿宋_GB2312" w:hAnsi="宋体" w:cs="宋体"/>
                <w:color w:val="auto"/>
                <w:kern w:val="0"/>
                <w:sz w:val="24"/>
                <w:szCs w:val="24"/>
              </w:rPr>
              <w:t>）</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区委办公室（区档案</w:t>
            </w:r>
            <w:r>
              <w:rPr>
                <w:rFonts w:hint="eastAsia" w:ascii="仿宋_GB2312" w:hAnsi="宋体" w:cs="宋体"/>
                <w:kern w:val="0"/>
                <w:sz w:val="24"/>
                <w:szCs w:val="24"/>
                <w:lang w:val="en-US" w:eastAsia="zh-CN"/>
              </w:rPr>
              <w:t>馆</w:t>
            </w:r>
            <w:r>
              <w:rPr>
                <w:rFonts w:hint="eastAsia" w:ascii="仿宋_GB2312" w:hAnsi="宋体" w:cs="宋体"/>
                <w:kern w:val="0"/>
                <w:sz w:val="24"/>
                <w:szCs w:val="24"/>
              </w:rPr>
              <w:t>）</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区委办公室（区档案</w:t>
            </w:r>
            <w:r>
              <w:rPr>
                <w:rFonts w:hint="eastAsia" w:ascii="仿宋_GB2312" w:hAnsi="宋体" w:cs="宋体"/>
                <w:kern w:val="0"/>
                <w:sz w:val="24"/>
                <w:szCs w:val="24"/>
                <w:lang w:val="en-US" w:eastAsia="zh-CN"/>
              </w:rPr>
              <w:t>馆</w:t>
            </w:r>
            <w:r>
              <w:rPr>
                <w:rFonts w:hint="eastAsia" w:ascii="仿宋_GB2312" w:hAnsi="宋体" w:cs="宋体"/>
                <w:kern w:val="0"/>
                <w:sz w:val="24"/>
                <w:szCs w:val="24"/>
              </w:rPr>
              <w:t>）</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区委办公室（区档案</w:t>
            </w:r>
            <w:r>
              <w:rPr>
                <w:rFonts w:hint="eastAsia" w:ascii="仿宋_GB2312" w:hAnsi="宋体" w:cs="宋体"/>
                <w:kern w:val="0"/>
                <w:sz w:val="24"/>
                <w:szCs w:val="24"/>
                <w:lang w:val="en-US" w:eastAsia="zh-CN"/>
              </w:rPr>
              <w:t>馆</w:t>
            </w:r>
            <w:r>
              <w:rPr>
                <w:rFonts w:hint="eastAsia" w:ascii="仿宋_GB2312" w:hAnsi="宋体" w:cs="宋体"/>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4</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区委组织部</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区委组织部</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5</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区委宣传部（区文明办）</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区委宣传部（区文明办）</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6</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区委统战部（区民族宗教局）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区委统战部（区民族宗教局）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区委统战部（区民族宗教局）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区委统战部（区民族宗教局）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区委统战部（区民族宗教局）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7</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区委网信办</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区委网信办</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区委网信办</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区委网信办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8</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区委编办</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区委编办</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区委编办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9</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区委机关工委</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区委机关工委</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10</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区委机要保密局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区委机要保密局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11</w:t>
            </w:r>
          </w:p>
        </w:tc>
        <w:tc>
          <w:tcPr>
            <w:tcW w:w="2772" w:type="dxa"/>
            <w:tcBorders>
              <w:bottom w:val="single" w:color="auto" w:sz="4" w:space="0"/>
            </w:tcBorders>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区政府办公室</w:t>
            </w:r>
          </w:p>
        </w:tc>
        <w:tc>
          <w:tcPr>
            <w:tcW w:w="2237" w:type="dxa"/>
            <w:tcBorders>
              <w:bottom w:val="single" w:color="auto" w:sz="4" w:space="0"/>
            </w:tcBorders>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tcBorders>
              <w:bottom w:val="single" w:color="auto" w:sz="4" w:space="0"/>
            </w:tcBorders>
            <w:noWrap w:val="0"/>
            <w:vAlign w:val="center"/>
          </w:tcPr>
          <w:p>
            <w:pPr>
              <w:widowControl/>
              <w:snapToGrid w:val="0"/>
              <w:jc w:val="center"/>
              <w:rPr>
                <w:rFonts w:ascii="仿宋_GB2312" w:hAnsi="宋体" w:cs="宋体"/>
                <w:kern w:val="0"/>
                <w:sz w:val="24"/>
                <w:szCs w:val="24"/>
              </w:rPr>
            </w:pPr>
          </w:p>
        </w:tc>
        <w:tc>
          <w:tcPr>
            <w:tcW w:w="2237" w:type="dxa"/>
            <w:tcBorders>
              <w:bottom w:val="single" w:color="auto" w:sz="4" w:space="0"/>
            </w:tcBorders>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rPr>
              <w:t>区政府办公室</w:t>
            </w:r>
          </w:p>
        </w:tc>
        <w:tc>
          <w:tcPr>
            <w:tcW w:w="2237" w:type="dxa"/>
            <w:tcBorders>
              <w:bottom w:val="single" w:color="auto" w:sz="4" w:space="0"/>
            </w:tcBorders>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区政府办公室</w:t>
            </w:r>
          </w:p>
        </w:tc>
        <w:tc>
          <w:tcPr>
            <w:tcW w:w="2237" w:type="dxa"/>
            <w:tcBorders>
              <w:bottom w:val="single" w:color="auto" w:sz="4" w:space="0"/>
            </w:tcBorders>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rPr>
              <w:t>区政府办公室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12</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区发展和改革局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区发展和改革局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区发展和改革</w:t>
            </w:r>
            <w:r>
              <w:rPr>
                <w:rFonts w:ascii="仿宋_GB2312" w:hAnsi="宋体" w:cs="宋体"/>
                <w:kern w:val="0"/>
                <w:sz w:val="24"/>
                <w:szCs w:val="24"/>
              </w:rPr>
              <w:t>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rPr>
              <w:t>区发展和改革局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区发展和改革局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rPr>
              <w:t>区发展和改革局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13</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区教育和体育局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区教育和体育局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区教育和体育局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区教育和体育局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区教育和体育局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区教育和体育局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14</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区科学技术局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区科学技术局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区科学技术局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区科学技术局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区科学技术局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15</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区工业和信息化局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区工业和信息化局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区工业和信息化局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区工业和信息化局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区工业和信息化局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16</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区公安</w:t>
            </w:r>
            <w:r>
              <w:rPr>
                <w:rFonts w:hint="eastAsia" w:ascii="仿宋_GB2312" w:hAnsi="宋体" w:cs="宋体"/>
                <w:kern w:val="0"/>
                <w:sz w:val="24"/>
                <w:szCs w:val="24"/>
                <w:lang w:val="en-US" w:eastAsia="zh-CN"/>
              </w:rPr>
              <w:t>分</w:t>
            </w:r>
            <w:r>
              <w:rPr>
                <w:rFonts w:hint="eastAsia" w:ascii="仿宋_GB2312" w:hAnsi="宋体" w:cs="宋体"/>
                <w:kern w:val="0"/>
                <w:sz w:val="24"/>
                <w:szCs w:val="24"/>
              </w:rPr>
              <w:t>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区公安</w:t>
            </w:r>
            <w:r>
              <w:rPr>
                <w:rFonts w:hint="eastAsia" w:ascii="仿宋_GB2312" w:hAnsi="宋体" w:cs="宋体"/>
                <w:kern w:val="0"/>
                <w:sz w:val="24"/>
                <w:szCs w:val="24"/>
                <w:lang w:val="en-US" w:eastAsia="zh-CN"/>
              </w:rPr>
              <w:t>分</w:t>
            </w:r>
            <w:r>
              <w:rPr>
                <w:rFonts w:hint="eastAsia" w:ascii="仿宋_GB2312" w:hAnsi="宋体" w:cs="宋体"/>
                <w:kern w:val="0"/>
                <w:sz w:val="24"/>
                <w:szCs w:val="24"/>
              </w:rPr>
              <w:t>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区公安</w:t>
            </w:r>
            <w:r>
              <w:rPr>
                <w:rFonts w:hint="eastAsia" w:ascii="仿宋_GB2312" w:hAnsi="宋体" w:cs="宋体"/>
                <w:kern w:val="0"/>
                <w:sz w:val="24"/>
                <w:szCs w:val="24"/>
                <w:lang w:val="en-US" w:eastAsia="zh-CN"/>
              </w:rPr>
              <w:t>分</w:t>
            </w:r>
            <w:r>
              <w:rPr>
                <w:rFonts w:hint="eastAsia" w:ascii="仿宋_GB2312" w:hAnsi="宋体" w:cs="宋体"/>
                <w:kern w:val="0"/>
                <w:sz w:val="24"/>
                <w:szCs w:val="24"/>
              </w:rPr>
              <w:t>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区公安分</w:t>
            </w:r>
            <w:r>
              <w:rPr>
                <w:rFonts w:hint="eastAsia" w:ascii="仿宋_GB2312" w:hAnsi="宋体" w:cs="宋体"/>
                <w:kern w:val="0"/>
                <w:sz w:val="24"/>
                <w:szCs w:val="24"/>
                <w:lang w:val="en-US" w:eastAsia="zh-CN"/>
              </w:rPr>
              <w:t>分</w:t>
            </w:r>
            <w:r>
              <w:rPr>
                <w:rFonts w:hint="eastAsia" w:ascii="仿宋_GB2312" w:hAnsi="宋体" w:cs="宋体"/>
                <w:kern w:val="0"/>
                <w:sz w:val="24"/>
                <w:szCs w:val="24"/>
              </w:rPr>
              <w:t>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区公安分局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17</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区民政局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区民政局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区民政局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区民政局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区民政局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区民政局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18</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区司法局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区司法局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区司法局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区司法局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区司法局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区司法局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19</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区财政局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区财政局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区财政局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区财政局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区财政局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20</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区人力资源和社会保障局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区人力资源和社会保障局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区人力资源和社会保障局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区人力资源和社会保障局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区人力资源和社会保障局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区人力资源和社会保障局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21</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区自然资源局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区自然资源局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区自然资源局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区自然资源局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区自然资源局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区自然资源局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22</w:t>
            </w:r>
          </w:p>
        </w:tc>
        <w:tc>
          <w:tcPr>
            <w:tcW w:w="2772" w:type="dxa"/>
            <w:noWrap w:val="0"/>
            <w:vAlign w:val="center"/>
          </w:tcPr>
          <w:p>
            <w:pPr>
              <w:widowControl/>
              <w:snapToGrid w:val="0"/>
              <w:jc w:val="center"/>
              <w:rPr>
                <w:rFonts w:hint="eastAsia" w:ascii="仿宋_GB2312" w:hAnsi="宋体" w:eastAsia="仿宋_GB2312" w:cs="宋体"/>
                <w:kern w:val="0"/>
                <w:sz w:val="24"/>
                <w:szCs w:val="24"/>
                <w:lang w:eastAsia="zh-CN"/>
              </w:rPr>
            </w:pPr>
            <w:r>
              <w:rPr>
                <w:rFonts w:hint="eastAsia" w:ascii="仿宋_GB2312" w:hAnsi="宋体" w:cs="宋体"/>
                <w:kern w:val="0"/>
                <w:sz w:val="24"/>
                <w:szCs w:val="24"/>
              </w:rPr>
              <w:t>区</w:t>
            </w:r>
            <w:r>
              <w:rPr>
                <w:rFonts w:hint="eastAsia" w:ascii="仿宋_GB2312" w:hAnsi="宋体" w:cs="宋体"/>
                <w:kern w:val="0"/>
                <w:sz w:val="24"/>
                <w:szCs w:val="24"/>
                <w:lang w:eastAsia="zh-CN"/>
              </w:rPr>
              <w:t>生态环境分局</w:t>
            </w:r>
          </w:p>
        </w:tc>
        <w:tc>
          <w:tcPr>
            <w:tcW w:w="2237" w:type="dxa"/>
            <w:noWrap w:val="0"/>
            <w:vAlign w:val="center"/>
          </w:tcPr>
          <w:p>
            <w:pPr>
              <w:widowControl/>
              <w:snapToGrid w:val="0"/>
              <w:jc w:val="center"/>
              <w:rPr>
                <w:rFonts w:hint="eastAsia" w:ascii="仿宋_GB2312" w:hAnsi="宋体" w:eastAsia="仿宋_GB2312" w:cs="宋体"/>
                <w:kern w:val="0"/>
                <w:sz w:val="24"/>
                <w:szCs w:val="24"/>
                <w:lang w:eastAsia="zh-CN"/>
              </w:rPr>
            </w:pPr>
            <w:r>
              <w:rPr>
                <w:rFonts w:hint="eastAsia" w:ascii="仿宋_GB2312" w:hAnsi="宋体" w:cs="宋体"/>
                <w:kern w:val="0"/>
                <w:sz w:val="24"/>
                <w:szCs w:val="24"/>
              </w:rPr>
              <w:t>区</w:t>
            </w:r>
            <w:r>
              <w:rPr>
                <w:rFonts w:hint="eastAsia" w:ascii="仿宋_GB2312" w:hAnsi="宋体" w:cs="宋体"/>
                <w:kern w:val="0"/>
                <w:sz w:val="24"/>
                <w:szCs w:val="24"/>
                <w:lang w:eastAsia="zh-CN"/>
              </w:rPr>
              <w:t>生态环境分局</w:t>
            </w:r>
          </w:p>
        </w:tc>
        <w:tc>
          <w:tcPr>
            <w:tcW w:w="2237" w:type="dxa"/>
            <w:noWrap w:val="0"/>
            <w:vAlign w:val="center"/>
          </w:tcPr>
          <w:p>
            <w:pPr>
              <w:widowControl/>
              <w:snapToGrid w:val="0"/>
              <w:jc w:val="center"/>
              <w:rPr>
                <w:rFonts w:hint="eastAsia" w:ascii="仿宋_GB2312" w:hAnsi="宋体" w:eastAsia="仿宋_GB2312" w:cs="宋体"/>
                <w:kern w:val="0"/>
                <w:sz w:val="24"/>
                <w:szCs w:val="24"/>
                <w:lang w:eastAsia="zh-CN"/>
              </w:rPr>
            </w:pPr>
            <w:r>
              <w:rPr>
                <w:rFonts w:hint="eastAsia" w:ascii="仿宋_GB2312" w:hAnsi="宋体" w:cs="宋体"/>
                <w:kern w:val="0"/>
                <w:sz w:val="24"/>
                <w:szCs w:val="24"/>
              </w:rPr>
              <w:t>区</w:t>
            </w:r>
            <w:r>
              <w:rPr>
                <w:rFonts w:hint="eastAsia" w:ascii="仿宋_GB2312" w:hAnsi="宋体" w:cs="宋体"/>
                <w:kern w:val="0"/>
                <w:sz w:val="24"/>
                <w:szCs w:val="24"/>
                <w:lang w:eastAsia="zh-CN"/>
              </w:rPr>
              <w:t>生态环境分局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区生态环境分局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区生态环境分局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区生态环境分局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23</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区住房和城乡建设局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区住房和城乡建设局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区住房和城乡建设局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区住房和城乡建设局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区住房和城乡建设局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区住房和城乡建设局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24</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区城市管理局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区城市管理局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区城市管理局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区城市管理局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区城市管理局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区城市管理局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hint="default" w:ascii="仿宋_GB2312" w:hAnsi="宋体" w:eastAsia="仿宋_GB2312" w:cs="宋体"/>
                <w:kern w:val="0"/>
                <w:sz w:val="24"/>
                <w:szCs w:val="24"/>
                <w:lang w:val="en-US" w:eastAsia="zh-CN"/>
              </w:rPr>
            </w:pPr>
            <w:r>
              <w:rPr>
                <w:rFonts w:hint="eastAsia" w:ascii="仿宋_GB2312" w:hAnsi="宋体" w:cs="宋体"/>
                <w:kern w:val="0"/>
                <w:sz w:val="24"/>
                <w:szCs w:val="24"/>
                <w:lang w:val="en-US" w:eastAsia="zh-CN"/>
              </w:rPr>
              <w:t>25</w:t>
            </w:r>
          </w:p>
        </w:tc>
        <w:tc>
          <w:tcPr>
            <w:tcW w:w="2772" w:type="dxa"/>
            <w:noWrap w:val="0"/>
            <w:vAlign w:val="center"/>
          </w:tcPr>
          <w:p>
            <w:pPr>
              <w:widowControl/>
              <w:snapToGrid w:val="0"/>
              <w:jc w:val="center"/>
              <w:rPr>
                <w:rFonts w:hint="eastAsia" w:ascii="仿宋_GB2312" w:hAnsi="宋体" w:cs="宋体"/>
                <w:kern w:val="0"/>
                <w:sz w:val="24"/>
                <w:szCs w:val="24"/>
                <w:lang w:eastAsia="zh-CN"/>
              </w:rPr>
            </w:pPr>
            <w:r>
              <w:rPr>
                <w:rFonts w:hint="eastAsia" w:ascii="仿宋_GB2312" w:hAnsi="宋体" w:cs="宋体"/>
                <w:kern w:val="0"/>
                <w:sz w:val="24"/>
                <w:szCs w:val="24"/>
                <w:lang w:eastAsia="zh-CN"/>
              </w:rPr>
              <w:t>区城乡交通运输局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lang w:eastAsia="zh-CN"/>
              </w:rPr>
              <w:t>区城乡交通运输局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lang w:eastAsia="zh-CN"/>
              </w:rPr>
              <w:t>区城乡交通运输局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lang w:eastAsia="zh-CN"/>
              </w:rPr>
              <w:t>区城乡交通运输局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lang w:eastAsia="zh-CN"/>
              </w:rPr>
              <w:t>区城乡交通运输局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lang w:eastAsia="zh-CN"/>
              </w:rPr>
              <w:t>区城乡交通运输局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hint="default" w:ascii="仿宋_GB2312" w:hAnsi="宋体" w:eastAsia="仿宋_GB2312" w:cs="宋体"/>
                <w:kern w:val="0"/>
                <w:sz w:val="24"/>
                <w:szCs w:val="24"/>
                <w:lang w:val="en-US" w:eastAsia="zh-CN"/>
              </w:rPr>
            </w:pPr>
            <w:r>
              <w:rPr>
                <w:rFonts w:hint="eastAsia" w:ascii="仿宋_GB2312" w:hAnsi="宋体" w:cs="宋体"/>
                <w:kern w:val="0"/>
                <w:sz w:val="24"/>
                <w:szCs w:val="24"/>
                <w:lang w:val="en-US" w:eastAsia="zh-CN"/>
              </w:rPr>
              <w:t>26</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区水务局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区水务局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区水务局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区水务局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区水务局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hint="default" w:ascii="仿宋_GB2312" w:hAnsi="宋体" w:eastAsia="仿宋_GB2312" w:cs="宋体"/>
                <w:kern w:val="0"/>
                <w:sz w:val="24"/>
                <w:szCs w:val="24"/>
                <w:lang w:val="en-US" w:eastAsia="zh-CN"/>
              </w:rPr>
            </w:pPr>
            <w:r>
              <w:rPr>
                <w:rFonts w:hint="eastAsia" w:ascii="仿宋_GB2312" w:hAnsi="宋体" w:cs="宋体"/>
                <w:kern w:val="0"/>
                <w:sz w:val="24"/>
                <w:szCs w:val="24"/>
                <w:lang w:val="en-US" w:eastAsia="zh-CN"/>
              </w:rPr>
              <w:t>27</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区农业农村局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区农业农村局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区农业农村局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区农业农村局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区农业农村局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hint="default" w:ascii="仿宋_GB2312" w:hAnsi="宋体" w:eastAsia="仿宋_GB2312" w:cs="宋体"/>
                <w:kern w:val="0"/>
                <w:sz w:val="24"/>
                <w:szCs w:val="24"/>
                <w:lang w:val="en-US" w:eastAsia="zh-CN"/>
              </w:rPr>
            </w:pPr>
            <w:r>
              <w:rPr>
                <w:rFonts w:hint="eastAsia" w:ascii="仿宋_GB2312" w:hAnsi="宋体" w:cs="宋体"/>
                <w:kern w:val="0"/>
                <w:sz w:val="24"/>
                <w:szCs w:val="24"/>
                <w:lang w:val="en-US" w:eastAsia="zh-CN"/>
              </w:rPr>
              <w:t>28</w:t>
            </w:r>
          </w:p>
        </w:tc>
        <w:tc>
          <w:tcPr>
            <w:tcW w:w="2772" w:type="dxa"/>
            <w:noWrap w:val="0"/>
            <w:vAlign w:val="center"/>
          </w:tcPr>
          <w:p>
            <w:pPr>
              <w:widowControl/>
              <w:snapToGrid w:val="0"/>
              <w:jc w:val="center"/>
              <w:rPr>
                <w:rFonts w:hint="eastAsia" w:ascii="仿宋_GB2312" w:hAnsi="宋体" w:eastAsia="仿宋_GB2312" w:cs="宋体"/>
                <w:kern w:val="0"/>
                <w:sz w:val="24"/>
                <w:szCs w:val="24"/>
                <w:lang w:val="en-US" w:eastAsia="zh-CN"/>
              </w:rPr>
            </w:pPr>
            <w:r>
              <w:rPr>
                <w:rFonts w:hint="eastAsia" w:ascii="仿宋_GB2312" w:hAnsi="宋体" w:cs="宋体"/>
                <w:kern w:val="0"/>
                <w:sz w:val="24"/>
                <w:szCs w:val="24"/>
              </w:rPr>
              <w:t>区园林</w:t>
            </w:r>
            <w:r>
              <w:rPr>
                <w:rFonts w:hint="eastAsia" w:ascii="仿宋_GB2312" w:hAnsi="宋体" w:cs="宋体"/>
                <w:kern w:val="0"/>
                <w:sz w:val="24"/>
                <w:szCs w:val="24"/>
                <w:lang w:val="en-US" w:eastAsia="zh-CN"/>
              </w:rPr>
              <w:t>局</w:t>
            </w:r>
          </w:p>
        </w:tc>
        <w:tc>
          <w:tcPr>
            <w:tcW w:w="2237" w:type="dxa"/>
            <w:noWrap w:val="0"/>
            <w:vAlign w:val="center"/>
          </w:tcPr>
          <w:p>
            <w:pPr>
              <w:widowControl/>
              <w:snapToGrid w:val="0"/>
              <w:jc w:val="center"/>
              <w:rPr>
                <w:rFonts w:hint="eastAsia" w:ascii="仿宋_GB2312" w:hAnsi="宋体" w:eastAsia="仿宋_GB2312" w:cs="宋体"/>
                <w:kern w:val="0"/>
                <w:sz w:val="24"/>
                <w:szCs w:val="24"/>
                <w:lang w:val="en-US" w:eastAsia="zh-CN"/>
              </w:rPr>
            </w:pPr>
            <w:r>
              <w:rPr>
                <w:rFonts w:hint="eastAsia" w:ascii="仿宋_GB2312" w:hAnsi="宋体" w:cs="宋体"/>
                <w:kern w:val="0"/>
                <w:sz w:val="24"/>
                <w:szCs w:val="24"/>
              </w:rPr>
              <w:t>区园林</w:t>
            </w:r>
            <w:r>
              <w:rPr>
                <w:rFonts w:hint="eastAsia" w:ascii="仿宋_GB2312" w:hAnsi="宋体" w:cs="宋体"/>
                <w:kern w:val="0"/>
                <w:sz w:val="24"/>
                <w:szCs w:val="24"/>
                <w:lang w:val="en-US" w:eastAsia="zh-CN"/>
              </w:rPr>
              <w:t>局</w:t>
            </w:r>
          </w:p>
        </w:tc>
        <w:tc>
          <w:tcPr>
            <w:tcW w:w="2237" w:type="dxa"/>
            <w:noWrap w:val="0"/>
            <w:vAlign w:val="center"/>
          </w:tcPr>
          <w:p>
            <w:pPr>
              <w:widowControl/>
              <w:snapToGrid w:val="0"/>
              <w:jc w:val="center"/>
              <w:rPr>
                <w:rFonts w:hint="eastAsia" w:ascii="仿宋_GB2312" w:hAnsi="宋体" w:eastAsia="仿宋_GB2312" w:cs="宋体"/>
                <w:kern w:val="0"/>
                <w:sz w:val="24"/>
                <w:szCs w:val="24"/>
                <w:lang w:val="en-US" w:eastAsia="zh-CN"/>
              </w:rPr>
            </w:pPr>
            <w:r>
              <w:rPr>
                <w:rFonts w:hint="eastAsia" w:ascii="仿宋_GB2312" w:hAnsi="宋体" w:cs="宋体"/>
                <w:kern w:val="0"/>
                <w:sz w:val="24"/>
                <w:szCs w:val="24"/>
              </w:rPr>
              <w:t>区园林</w:t>
            </w:r>
            <w:r>
              <w:rPr>
                <w:rFonts w:hint="eastAsia" w:ascii="仿宋_GB2312" w:hAnsi="宋体" w:cs="宋体"/>
                <w:kern w:val="0"/>
                <w:sz w:val="24"/>
                <w:szCs w:val="24"/>
                <w:lang w:val="en-US" w:eastAsia="zh-CN"/>
              </w:rPr>
              <w:t>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29</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区文化和旅游局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区文化和旅游局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区文化和旅游局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区文化和旅游局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区文化和旅游局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区文化和旅游局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30</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区卫生健康局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区卫生健康局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区卫生健康局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rPr>
              <w:t>区卫生健康局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区卫生健康局</w:t>
            </w:r>
          </w:p>
        </w:tc>
        <w:tc>
          <w:tcPr>
            <w:tcW w:w="2237" w:type="dxa"/>
            <w:noWrap w:val="0"/>
            <w:vAlign w:val="center"/>
          </w:tcPr>
          <w:p>
            <w:pPr>
              <w:widowControl/>
              <w:snapToGrid w:val="0"/>
              <w:jc w:val="center"/>
              <w:rPr>
                <w:rFonts w:hint="eastAsia" w:ascii="仿宋_GB2312" w:hAnsi="宋体" w:cs="宋体"/>
                <w:kern w:val="0"/>
                <w:sz w:val="24"/>
                <w:szCs w:val="24"/>
              </w:rPr>
            </w:pPr>
            <w:r>
              <w:rPr>
                <w:rFonts w:hint="eastAsia" w:ascii="仿宋_GB2312" w:hAnsi="宋体" w:cs="宋体"/>
                <w:kern w:val="0"/>
                <w:sz w:val="24"/>
                <w:szCs w:val="24"/>
              </w:rPr>
              <w:t>区卫生健康局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31</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区退役军人事务局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区退役军人事务局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区退役军人事务局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32</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区应急管理局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区应急管理局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区应急管理局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区应急管理局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区应急管理局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区应急管理局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33</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区审计局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区审计局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区审计局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区审计局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34</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区市场监督管理局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区市场监督管理局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区市场监督管理局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区市场监督管理局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区市场监督管理局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区市场监督管理局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35</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区统计局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区统计局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区统计局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区统计局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区统计局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区统计局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36</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区医疗保障局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区医疗保障局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区医疗保障局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区医疗保障局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区医疗保障局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区医疗保障局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37</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区人民防空办公室</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区人民防空办公室</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区人民防空办公室</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区人民防空办公室</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区人民防空办公室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38</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区地方金融监督管理局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区地方金融监督管理局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区地方金融监督管理局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区地方金融监督管理局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区地方金融监督管理局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39</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区投资促进局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区投资促进局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区投资促进局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区投资促进局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区投资促进局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40</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区行政审批服务局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区政审批服务局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区行政审批服务局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区行政审批服务局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41</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区大数据局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区大数据局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42</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区消防救援</w:t>
            </w:r>
            <w:r>
              <w:rPr>
                <w:rFonts w:hint="eastAsia" w:ascii="仿宋_GB2312" w:hAnsi="宋体" w:cs="宋体"/>
                <w:kern w:val="0"/>
                <w:sz w:val="24"/>
                <w:szCs w:val="24"/>
                <w:lang w:val="en-US" w:eastAsia="zh-CN"/>
              </w:rPr>
              <w:t>大</w:t>
            </w:r>
            <w:r>
              <w:rPr>
                <w:rFonts w:hint="eastAsia" w:ascii="仿宋_GB2312" w:hAnsi="宋体" w:cs="宋体"/>
                <w:kern w:val="0"/>
                <w:sz w:val="24"/>
                <w:szCs w:val="24"/>
              </w:rPr>
              <w:t>队</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区消防救援大队</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43</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区税务局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区税务局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区税务局</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9"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44</w:t>
            </w:r>
          </w:p>
        </w:tc>
        <w:tc>
          <w:tcPr>
            <w:tcW w:w="2772"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lang w:val="en-US" w:eastAsia="zh-CN"/>
              </w:rPr>
              <w:t>区黄河河务</w:t>
            </w:r>
            <w:r>
              <w:rPr>
                <w:rFonts w:hint="eastAsia" w:ascii="仿宋_GB2312" w:hAnsi="宋体" w:cs="宋体"/>
                <w:kern w:val="0"/>
                <w:sz w:val="24"/>
                <w:szCs w:val="24"/>
              </w:rPr>
              <w:t>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　</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lang w:val="en-US" w:eastAsia="zh-CN"/>
              </w:rPr>
              <w:t>区黄河河务</w:t>
            </w:r>
            <w:r>
              <w:rPr>
                <w:rFonts w:hint="eastAsia" w:ascii="仿宋_GB2312" w:hAnsi="宋体" w:cs="宋体"/>
                <w:kern w:val="0"/>
                <w:sz w:val="24"/>
                <w:szCs w:val="24"/>
              </w:rPr>
              <w:t>局</w:t>
            </w:r>
          </w:p>
        </w:tc>
        <w:tc>
          <w:tcPr>
            <w:tcW w:w="2237" w:type="dxa"/>
            <w:noWrap w:val="0"/>
            <w:vAlign w:val="center"/>
          </w:tcPr>
          <w:p>
            <w:pPr>
              <w:widowControl/>
              <w:snapToGrid w:val="0"/>
              <w:jc w:val="center"/>
              <w:rPr>
                <w:rFonts w:ascii="仿宋_GB2312" w:hAnsi="宋体" w:cs="宋体"/>
                <w:kern w:val="0"/>
                <w:sz w:val="24"/>
                <w:szCs w:val="24"/>
              </w:rPr>
            </w:pPr>
            <w:r>
              <w:rPr>
                <w:rFonts w:hint="eastAsia" w:ascii="仿宋_GB2312" w:hAnsi="宋体" w:cs="宋体"/>
                <w:kern w:val="0"/>
                <w:sz w:val="24"/>
                <w:szCs w:val="24"/>
              </w:rPr>
              <w:t>区</w:t>
            </w:r>
            <w:r>
              <w:rPr>
                <w:rFonts w:hint="eastAsia" w:ascii="仿宋_GB2312" w:hAnsi="宋体" w:cs="宋体"/>
                <w:kern w:val="0"/>
                <w:sz w:val="24"/>
                <w:szCs w:val="24"/>
                <w:lang w:val="en-US" w:eastAsia="zh-CN"/>
              </w:rPr>
              <w:t>黄河河务</w:t>
            </w:r>
            <w:r>
              <w:rPr>
                <w:rFonts w:hint="eastAsia" w:ascii="仿宋_GB2312" w:hAnsi="宋体" w:cs="宋体"/>
                <w:kern w:val="0"/>
                <w:sz w:val="24"/>
                <w:szCs w:val="24"/>
              </w:rPr>
              <w:t>局</w:t>
            </w:r>
          </w:p>
        </w:tc>
      </w:tr>
    </w:tbl>
    <w:p>
      <w:pPr>
        <w:adjustRightInd w:val="0"/>
        <w:jc w:val="left"/>
        <w:rPr>
          <w:rFonts w:ascii="仿宋_GB2312"/>
          <w:sz w:val="32"/>
        </w:rPr>
      </w:pPr>
    </w:p>
    <w:p>
      <w:pPr>
        <w:adjustRightInd w:val="0"/>
        <w:jc w:val="left"/>
        <w:rPr>
          <w:rFonts w:ascii="仿宋_GB2312"/>
          <w:sz w:val="32"/>
        </w:rPr>
      </w:pPr>
    </w:p>
    <w:p>
      <w:pPr>
        <w:adjustRightInd w:val="0"/>
        <w:jc w:val="left"/>
        <w:rPr>
          <w:rFonts w:hint="eastAsia" w:ascii="黑体" w:hAnsi="黑体" w:eastAsia="黑体"/>
          <w:sz w:val="32"/>
        </w:rPr>
      </w:pPr>
    </w:p>
    <w:p>
      <w:pPr>
        <w:adjustRightInd w:val="0"/>
        <w:jc w:val="left"/>
        <w:rPr>
          <w:rFonts w:hint="eastAsia" w:ascii="黑体" w:hAnsi="黑体" w:eastAsia="黑体"/>
          <w:sz w:val="32"/>
        </w:rPr>
      </w:pPr>
    </w:p>
    <w:p>
      <w:pPr>
        <w:adjustRightInd w:val="0"/>
        <w:jc w:val="left"/>
        <w:rPr>
          <w:rFonts w:hint="eastAsia" w:ascii="黑体" w:hAnsi="黑体" w:eastAsia="黑体"/>
          <w:sz w:val="32"/>
        </w:rPr>
      </w:pPr>
    </w:p>
    <w:p>
      <w:pPr>
        <w:adjustRightInd w:val="0"/>
        <w:jc w:val="left"/>
        <w:rPr>
          <w:rFonts w:hint="eastAsia" w:ascii="黑体" w:hAnsi="黑体" w:eastAsia="黑体"/>
          <w:sz w:val="32"/>
        </w:rPr>
      </w:pPr>
    </w:p>
    <w:p>
      <w:pPr>
        <w:adjustRightInd w:val="0"/>
        <w:jc w:val="left"/>
        <w:rPr>
          <w:rFonts w:ascii="黑体" w:hAnsi="黑体" w:eastAsia="黑体"/>
          <w:sz w:val="32"/>
        </w:rPr>
      </w:pPr>
      <w:bookmarkStart w:id="0" w:name="_GoBack"/>
      <w:bookmarkEnd w:id="0"/>
      <w:r>
        <w:rPr>
          <w:rFonts w:hint="eastAsia" w:ascii="黑体" w:hAnsi="黑体" w:eastAsia="黑体"/>
          <w:sz w:val="32"/>
        </w:rPr>
        <w:t>附件2：</w:t>
      </w:r>
    </w:p>
    <w:p>
      <w:pPr>
        <w:adjustRightInd w:val="0"/>
        <w:jc w:val="center"/>
        <w:rPr>
          <w:rFonts w:ascii="宋体" w:hAnsi="宋体" w:eastAsia="宋体"/>
          <w:b/>
          <w:sz w:val="44"/>
          <w:szCs w:val="44"/>
        </w:rPr>
      </w:pPr>
      <w:r>
        <w:rPr>
          <w:rFonts w:hint="eastAsia" w:ascii="宋体" w:hAnsi="宋体" w:eastAsia="宋体"/>
          <w:b/>
          <w:sz w:val="44"/>
          <w:szCs w:val="44"/>
        </w:rPr>
        <w:t>市场监管指标联络员报名表</w:t>
      </w:r>
    </w:p>
    <w:p>
      <w:pPr>
        <w:adjustRightInd w:val="0"/>
        <w:ind w:firstLine="640" w:firstLineChars="200"/>
        <w:jc w:val="left"/>
        <w:rPr>
          <w:rFonts w:ascii="宋体" w:hAnsi="宋体" w:eastAsia="宋体"/>
          <w:b/>
          <w:sz w:val="44"/>
          <w:szCs w:val="44"/>
        </w:rPr>
      </w:pPr>
      <w:r>
        <w:rPr>
          <w:rFonts w:hint="eastAsia" w:ascii="仿宋_GB2312" w:hAnsi="宋体"/>
          <w:b/>
          <w:sz w:val="32"/>
        </w:rPr>
        <w:t>单位名称：</w:t>
      </w:r>
    </w:p>
    <w:tbl>
      <w:tblPr>
        <w:tblStyle w:val="3"/>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85"/>
        <w:gridCol w:w="2268"/>
        <w:gridCol w:w="1733"/>
        <w:gridCol w:w="2362"/>
        <w:gridCol w:w="2363"/>
        <w:gridCol w:w="2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ascii="宋体" w:hAnsi="宋体" w:eastAsia="宋体"/>
                <w:b/>
              </w:rPr>
            </w:pPr>
            <w:r>
              <w:rPr>
                <w:rFonts w:hint="eastAsia" w:ascii="宋体" w:hAnsi="宋体" w:eastAsia="宋体"/>
                <w:b/>
                <w:sz w:val="32"/>
              </w:rPr>
              <w:t>指标名称</w:t>
            </w:r>
          </w:p>
        </w:tc>
        <w:tc>
          <w:tcPr>
            <w:tcW w:w="2268" w:type="dxa"/>
            <w:noWrap w:val="0"/>
            <w:vAlign w:val="center"/>
          </w:tcPr>
          <w:p>
            <w:pPr>
              <w:adjustRightInd w:val="0"/>
              <w:snapToGrid w:val="0"/>
              <w:jc w:val="center"/>
              <w:rPr>
                <w:rFonts w:ascii="宋体" w:hAnsi="宋体" w:eastAsia="宋体"/>
                <w:b/>
              </w:rPr>
            </w:pPr>
            <w:r>
              <w:rPr>
                <w:rFonts w:hint="eastAsia" w:ascii="宋体" w:hAnsi="宋体" w:eastAsia="宋体"/>
                <w:b/>
                <w:sz w:val="32"/>
              </w:rPr>
              <w:t>联络员姓名</w:t>
            </w:r>
          </w:p>
        </w:tc>
        <w:tc>
          <w:tcPr>
            <w:tcW w:w="1733" w:type="dxa"/>
            <w:noWrap w:val="0"/>
            <w:vAlign w:val="center"/>
          </w:tcPr>
          <w:p>
            <w:pPr>
              <w:adjustRightInd w:val="0"/>
              <w:snapToGrid w:val="0"/>
              <w:jc w:val="center"/>
              <w:rPr>
                <w:rFonts w:ascii="宋体" w:hAnsi="宋体" w:eastAsia="宋体"/>
                <w:b/>
              </w:rPr>
            </w:pPr>
            <w:r>
              <w:rPr>
                <w:rFonts w:hint="eastAsia" w:ascii="宋体" w:hAnsi="宋体" w:eastAsia="宋体"/>
                <w:b/>
                <w:sz w:val="32"/>
                <w:lang w:eastAsia="zh-CN"/>
              </w:rPr>
              <w:t>科</w:t>
            </w:r>
            <w:r>
              <w:rPr>
                <w:rFonts w:hint="eastAsia" w:ascii="宋体" w:hAnsi="宋体" w:eastAsia="宋体"/>
                <w:b/>
                <w:sz w:val="32"/>
              </w:rPr>
              <w:t>室</w:t>
            </w:r>
          </w:p>
        </w:tc>
        <w:tc>
          <w:tcPr>
            <w:tcW w:w="2362" w:type="dxa"/>
            <w:noWrap w:val="0"/>
            <w:vAlign w:val="center"/>
          </w:tcPr>
          <w:p>
            <w:pPr>
              <w:adjustRightInd w:val="0"/>
              <w:snapToGrid w:val="0"/>
              <w:jc w:val="center"/>
              <w:rPr>
                <w:rFonts w:ascii="宋体" w:hAnsi="宋体" w:eastAsia="宋体"/>
                <w:b/>
              </w:rPr>
            </w:pPr>
            <w:r>
              <w:rPr>
                <w:rFonts w:hint="eastAsia" w:ascii="宋体" w:hAnsi="宋体" w:eastAsia="宋体"/>
                <w:b/>
                <w:sz w:val="32"/>
              </w:rPr>
              <w:t>职务</w:t>
            </w:r>
          </w:p>
        </w:tc>
        <w:tc>
          <w:tcPr>
            <w:tcW w:w="2363" w:type="dxa"/>
            <w:noWrap w:val="0"/>
            <w:vAlign w:val="center"/>
          </w:tcPr>
          <w:p>
            <w:pPr>
              <w:adjustRightInd w:val="0"/>
              <w:snapToGrid w:val="0"/>
              <w:jc w:val="center"/>
              <w:rPr>
                <w:rFonts w:ascii="宋体" w:hAnsi="宋体" w:eastAsia="宋体"/>
                <w:b/>
              </w:rPr>
            </w:pPr>
            <w:r>
              <w:rPr>
                <w:rFonts w:hint="eastAsia" w:ascii="宋体" w:hAnsi="宋体" w:eastAsia="宋体"/>
                <w:b/>
                <w:sz w:val="32"/>
              </w:rPr>
              <w:t>办公电话</w:t>
            </w:r>
          </w:p>
        </w:tc>
        <w:tc>
          <w:tcPr>
            <w:tcW w:w="2363" w:type="dxa"/>
            <w:noWrap w:val="0"/>
            <w:vAlign w:val="center"/>
          </w:tcPr>
          <w:p>
            <w:pPr>
              <w:adjustRightInd w:val="0"/>
              <w:snapToGrid w:val="0"/>
              <w:jc w:val="center"/>
              <w:rPr>
                <w:rFonts w:ascii="宋体" w:hAnsi="宋体" w:eastAsia="宋体"/>
                <w:b/>
              </w:rPr>
            </w:pPr>
            <w:r>
              <w:rPr>
                <w:rFonts w:hint="eastAsia" w:ascii="宋体" w:hAnsi="宋体" w:eastAsia="宋体"/>
                <w:b/>
                <w:sz w:val="32"/>
              </w:rPr>
              <w:t>手机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ascii="宋体" w:hAnsi="宋体" w:eastAsia="宋体"/>
                <w:b/>
              </w:rPr>
            </w:pPr>
            <w:r>
              <w:rPr>
                <w:rFonts w:hint="eastAsia" w:ascii="宋体" w:hAnsi="宋体" w:eastAsia="宋体"/>
                <w:b/>
                <w:sz w:val="32"/>
              </w:rPr>
              <w:t>市场监管</w:t>
            </w:r>
          </w:p>
        </w:tc>
        <w:tc>
          <w:tcPr>
            <w:tcW w:w="2268" w:type="dxa"/>
            <w:noWrap w:val="0"/>
            <w:vAlign w:val="center"/>
          </w:tcPr>
          <w:p>
            <w:pPr>
              <w:adjustRightInd w:val="0"/>
              <w:snapToGrid w:val="0"/>
              <w:jc w:val="center"/>
              <w:rPr>
                <w:rFonts w:ascii="宋体" w:hAnsi="宋体" w:eastAsia="宋体"/>
                <w:b/>
              </w:rPr>
            </w:pPr>
          </w:p>
          <w:p>
            <w:pPr>
              <w:adjustRightInd w:val="0"/>
              <w:snapToGrid w:val="0"/>
              <w:jc w:val="center"/>
              <w:rPr>
                <w:rFonts w:ascii="宋体" w:hAnsi="宋体" w:eastAsia="宋体"/>
                <w:b/>
              </w:rPr>
            </w:pPr>
          </w:p>
        </w:tc>
        <w:tc>
          <w:tcPr>
            <w:tcW w:w="1733" w:type="dxa"/>
            <w:noWrap w:val="0"/>
            <w:vAlign w:val="center"/>
          </w:tcPr>
          <w:p>
            <w:pPr>
              <w:adjustRightInd w:val="0"/>
              <w:snapToGrid w:val="0"/>
              <w:jc w:val="center"/>
              <w:rPr>
                <w:rFonts w:ascii="宋体" w:hAnsi="宋体" w:eastAsia="宋体"/>
                <w:b/>
              </w:rPr>
            </w:pPr>
          </w:p>
        </w:tc>
        <w:tc>
          <w:tcPr>
            <w:tcW w:w="2362"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ascii="宋体" w:hAnsi="宋体" w:eastAsia="宋体"/>
                <w:b/>
              </w:rPr>
            </w:pPr>
            <w:r>
              <w:rPr>
                <w:rFonts w:hint="eastAsia" w:ascii="宋体" w:hAnsi="宋体" w:eastAsia="宋体"/>
                <w:b/>
                <w:sz w:val="32"/>
              </w:rPr>
              <w:t>“双随机、一公开”监管覆盖率</w:t>
            </w:r>
          </w:p>
        </w:tc>
        <w:tc>
          <w:tcPr>
            <w:tcW w:w="2268" w:type="dxa"/>
            <w:noWrap w:val="0"/>
            <w:vAlign w:val="center"/>
          </w:tcPr>
          <w:p>
            <w:pPr>
              <w:adjustRightInd w:val="0"/>
              <w:snapToGrid w:val="0"/>
              <w:jc w:val="center"/>
              <w:rPr>
                <w:rFonts w:ascii="宋体" w:hAnsi="宋体" w:eastAsia="宋体"/>
                <w:b/>
              </w:rPr>
            </w:pPr>
          </w:p>
        </w:tc>
        <w:tc>
          <w:tcPr>
            <w:tcW w:w="1733" w:type="dxa"/>
            <w:noWrap w:val="0"/>
            <w:vAlign w:val="center"/>
          </w:tcPr>
          <w:p>
            <w:pPr>
              <w:adjustRightInd w:val="0"/>
              <w:snapToGrid w:val="0"/>
              <w:jc w:val="center"/>
              <w:rPr>
                <w:rFonts w:ascii="宋体" w:hAnsi="宋体" w:eastAsia="宋体"/>
                <w:b/>
              </w:rPr>
            </w:pPr>
          </w:p>
        </w:tc>
        <w:tc>
          <w:tcPr>
            <w:tcW w:w="2362"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ascii="宋体" w:hAnsi="宋体" w:eastAsia="宋体"/>
                <w:b/>
              </w:rPr>
            </w:pPr>
            <w:r>
              <w:rPr>
                <w:rFonts w:hint="eastAsia" w:ascii="宋体" w:hAnsi="宋体" w:eastAsia="宋体"/>
                <w:b/>
                <w:sz w:val="32"/>
              </w:rPr>
              <w:t>信用监管</w:t>
            </w:r>
          </w:p>
        </w:tc>
        <w:tc>
          <w:tcPr>
            <w:tcW w:w="2268" w:type="dxa"/>
            <w:noWrap w:val="0"/>
            <w:vAlign w:val="center"/>
          </w:tcPr>
          <w:p>
            <w:pPr>
              <w:adjustRightInd w:val="0"/>
              <w:snapToGrid w:val="0"/>
              <w:jc w:val="center"/>
              <w:rPr>
                <w:rFonts w:ascii="宋体" w:hAnsi="宋体" w:eastAsia="宋体"/>
                <w:b/>
              </w:rPr>
            </w:pPr>
          </w:p>
          <w:p>
            <w:pPr>
              <w:adjustRightInd w:val="0"/>
              <w:snapToGrid w:val="0"/>
              <w:jc w:val="center"/>
              <w:rPr>
                <w:rFonts w:ascii="宋体" w:hAnsi="宋体" w:eastAsia="宋体"/>
                <w:b/>
              </w:rPr>
            </w:pPr>
          </w:p>
        </w:tc>
        <w:tc>
          <w:tcPr>
            <w:tcW w:w="1733" w:type="dxa"/>
            <w:noWrap w:val="0"/>
            <w:vAlign w:val="center"/>
          </w:tcPr>
          <w:p>
            <w:pPr>
              <w:adjustRightInd w:val="0"/>
              <w:snapToGrid w:val="0"/>
              <w:jc w:val="center"/>
              <w:rPr>
                <w:rFonts w:ascii="宋体" w:hAnsi="宋体" w:eastAsia="宋体"/>
                <w:b/>
              </w:rPr>
            </w:pPr>
          </w:p>
        </w:tc>
        <w:tc>
          <w:tcPr>
            <w:tcW w:w="2362"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ascii="宋体" w:hAnsi="宋体" w:eastAsia="宋体"/>
                <w:b/>
              </w:rPr>
            </w:pPr>
            <w:r>
              <w:rPr>
                <w:rFonts w:hint="eastAsia" w:ascii="宋体" w:hAnsi="宋体" w:eastAsia="宋体"/>
                <w:b/>
                <w:sz w:val="32"/>
              </w:rPr>
              <w:t>互联网+监管</w:t>
            </w:r>
          </w:p>
        </w:tc>
        <w:tc>
          <w:tcPr>
            <w:tcW w:w="2268" w:type="dxa"/>
            <w:noWrap w:val="0"/>
            <w:vAlign w:val="center"/>
          </w:tcPr>
          <w:p>
            <w:pPr>
              <w:adjustRightInd w:val="0"/>
              <w:snapToGrid w:val="0"/>
              <w:jc w:val="center"/>
              <w:rPr>
                <w:rFonts w:ascii="宋体" w:hAnsi="宋体" w:eastAsia="宋体"/>
                <w:b/>
              </w:rPr>
            </w:pPr>
          </w:p>
          <w:p>
            <w:pPr>
              <w:adjustRightInd w:val="0"/>
              <w:snapToGrid w:val="0"/>
              <w:jc w:val="center"/>
              <w:rPr>
                <w:rFonts w:ascii="宋体" w:hAnsi="宋体" w:eastAsia="宋体"/>
                <w:b/>
              </w:rPr>
            </w:pPr>
          </w:p>
        </w:tc>
        <w:tc>
          <w:tcPr>
            <w:tcW w:w="1733" w:type="dxa"/>
            <w:noWrap w:val="0"/>
            <w:vAlign w:val="center"/>
          </w:tcPr>
          <w:p>
            <w:pPr>
              <w:adjustRightInd w:val="0"/>
              <w:snapToGrid w:val="0"/>
              <w:jc w:val="center"/>
              <w:rPr>
                <w:rFonts w:ascii="宋体" w:hAnsi="宋体" w:eastAsia="宋体"/>
                <w:b/>
              </w:rPr>
            </w:pPr>
          </w:p>
        </w:tc>
        <w:tc>
          <w:tcPr>
            <w:tcW w:w="2362"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ascii="宋体" w:hAnsi="宋体" w:eastAsia="宋体"/>
                <w:b/>
              </w:rPr>
            </w:pPr>
            <w:r>
              <w:rPr>
                <w:rFonts w:hint="eastAsia" w:ascii="宋体" w:hAnsi="宋体" w:eastAsia="宋体"/>
                <w:b/>
                <w:sz w:val="32"/>
              </w:rPr>
              <w:t>监管执法规范度</w:t>
            </w:r>
          </w:p>
        </w:tc>
        <w:tc>
          <w:tcPr>
            <w:tcW w:w="2268" w:type="dxa"/>
            <w:noWrap w:val="0"/>
            <w:vAlign w:val="center"/>
          </w:tcPr>
          <w:p>
            <w:pPr>
              <w:adjustRightInd w:val="0"/>
              <w:snapToGrid w:val="0"/>
              <w:jc w:val="center"/>
              <w:rPr>
                <w:rFonts w:ascii="宋体" w:hAnsi="宋体" w:eastAsia="宋体"/>
                <w:b/>
              </w:rPr>
            </w:pPr>
          </w:p>
          <w:p>
            <w:pPr>
              <w:adjustRightInd w:val="0"/>
              <w:snapToGrid w:val="0"/>
              <w:jc w:val="center"/>
              <w:rPr>
                <w:rFonts w:ascii="宋体" w:hAnsi="宋体" w:eastAsia="宋体"/>
                <w:b/>
              </w:rPr>
            </w:pPr>
          </w:p>
        </w:tc>
        <w:tc>
          <w:tcPr>
            <w:tcW w:w="1733" w:type="dxa"/>
            <w:noWrap w:val="0"/>
            <w:vAlign w:val="center"/>
          </w:tcPr>
          <w:p>
            <w:pPr>
              <w:adjustRightInd w:val="0"/>
              <w:snapToGrid w:val="0"/>
              <w:jc w:val="center"/>
              <w:rPr>
                <w:rFonts w:ascii="宋体" w:hAnsi="宋体" w:eastAsia="宋体"/>
                <w:b/>
              </w:rPr>
            </w:pPr>
          </w:p>
        </w:tc>
        <w:tc>
          <w:tcPr>
            <w:tcW w:w="2362"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ascii="宋体" w:hAnsi="宋体" w:eastAsia="宋体"/>
                <w:b/>
              </w:rPr>
            </w:pPr>
            <w:r>
              <w:rPr>
                <w:rFonts w:hint="eastAsia" w:ascii="宋体" w:hAnsi="宋体" w:eastAsia="宋体"/>
                <w:b/>
                <w:sz w:val="32"/>
              </w:rPr>
              <w:t>监管体制机制创新</w:t>
            </w:r>
          </w:p>
        </w:tc>
        <w:tc>
          <w:tcPr>
            <w:tcW w:w="2268" w:type="dxa"/>
            <w:noWrap w:val="0"/>
            <w:vAlign w:val="center"/>
          </w:tcPr>
          <w:p>
            <w:pPr>
              <w:adjustRightInd w:val="0"/>
              <w:snapToGrid w:val="0"/>
              <w:jc w:val="center"/>
              <w:rPr>
                <w:rFonts w:ascii="宋体" w:hAnsi="宋体" w:eastAsia="宋体"/>
                <w:b/>
              </w:rPr>
            </w:pPr>
          </w:p>
          <w:p>
            <w:pPr>
              <w:adjustRightInd w:val="0"/>
              <w:snapToGrid w:val="0"/>
              <w:jc w:val="center"/>
              <w:rPr>
                <w:rFonts w:ascii="宋体" w:hAnsi="宋体" w:eastAsia="宋体"/>
                <w:b/>
              </w:rPr>
            </w:pPr>
          </w:p>
        </w:tc>
        <w:tc>
          <w:tcPr>
            <w:tcW w:w="1733" w:type="dxa"/>
            <w:noWrap w:val="0"/>
            <w:vAlign w:val="center"/>
          </w:tcPr>
          <w:p>
            <w:pPr>
              <w:adjustRightInd w:val="0"/>
              <w:snapToGrid w:val="0"/>
              <w:jc w:val="center"/>
              <w:rPr>
                <w:rFonts w:ascii="宋体" w:hAnsi="宋体" w:eastAsia="宋体"/>
                <w:b/>
              </w:rPr>
            </w:pPr>
          </w:p>
        </w:tc>
        <w:tc>
          <w:tcPr>
            <w:tcW w:w="2362"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noWrap w:val="0"/>
            <w:vAlign w:val="center"/>
          </w:tcPr>
          <w:p>
            <w:pPr>
              <w:adjustRightInd w:val="0"/>
              <w:snapToGrid w:val="0"/>
              <w:jc w:val="center"/>
              <w:rPr>
                <w:rFonts w:hint="default" w:ascii="宋体" w:hAnsi="宋体" w:eastAsia="宋体"/>
                <w:b/>
                <w:sz w:val="32"/>
                <w:lang w:val="en-US" w:eastAsia="zh-CN"/>
              </w:rPr>
            </w:pPr>
            <w:r>
              <w:rPr>
                <w:rFonts w:hint="eastAsia" w:ascii="宋体" w:hAnsi="宋体" w:eastAsia="宋体"/>
                <w:b/>
                <w:sz w:val="32"/>
                <w:lang w:val="en-US" w:eastAsia="zh-CN"/>
              </w:rPr>
              <w:t>配合单位</w:t>
            </w:r>
          </w:p>
        </w:tc>
        <w:tc>
          <w:tcPr>
            <w:tcW w:w="2268" w:type="dxa"/>
            <w:noWrap w:val="0"/>
            <w:vAlign w:val="center"/>
          </w:tcPr>
          <w:p>
            <w:pPr>
              <w:adjustRightInd w:val="0"/>
              <w:snapToGrid w:val="0"/>
              <w:jc w:val="center"/>
              <w:rPr>
                <w:rFonts w:ascii="宋体" w:hAnsi="宋体" w:eastAsia="宋体"/>
                <w:b/>
              </w:rPr>
            </w:pPr>
          </w:p>
        </w:tc>
        <w:tc>
          <w:tcPr>
            <w:tcW w:w="1733" w:type="dxa"/>
            <w:noWrap w:val="0"/>
            <w:vAlign w:val="center"/>
          </w:tcPr>
          <w:p>
            <w:pPr>
              <w:adjustRightInd w:val="0"/>
              <w:snapToGrid w:val="0"/>
              <w:jc w:val="center"/>
              <w:rPr>
                <w:rFonts w:ascii="宋体" w:hAnsi="宋体" w:eastAsia="宋体"/>
                <w:b/>
              </w:rPr>
            </w:pPr>
          </w:p>
        </w:tc>
        <w:tc>
          <w:tcPr>
            <w:tcW w:w="2362"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c>
          <w:tcPr>
            <w:tcW w:w="2363" w:type="dxa"/>
            <w:noWrap w:val="0"/>
            <w:vAlign w:val="center"/>
          </w:tcPr>
          <w:p>
            <w:pPr>
              <w:adjustRightInd w:val="0"/>
              <w:snapToGrid w:val="0"/>
              <w:jc w:val="center"/>
              <w:rPr>
                <w:rFonts w:ascii="宋体" w:hAnsi="宋体" w:eastAsia="宋体"/>
                <w:b/>
              </w:rPr>
            </w:pPr>
          </w:p>
        </w:tc>
      </w:tr>
    </w:tbl>
    <w:p>
      <w:pPr>
        <w:rPr>
          <w:rFonts w:hint="eastAsia"/>
        </w:rPr>
      </w:pPr>
    </w:p>
    <w:p>
      <w:pPr>
        <w:adjustRightInd w:val="0"/>
        <w:jc w:val="left"/>
        <w:rPr>
          <w:rFonts w:hint="eastAsia"/>
        </w:rPr>
      </w:pPr>
    </w:p>
    <w:p>
      <w:pPr>
        <w:adjustRightInd w:val="0"/>
        <w:jc w:val="left"/>
        <w:rPr>
          <w:rFonts w:ascii="黑体" w:hAnsi="黑体" w:eastAsia="黑体"/>
          <w:sz w:val="32"/>
        </w:rPr>
        <w:sectPr>
          <w:pgSz w:w="16838" w:h="11906" w:orient="landscape"/>
          <w:pgMar w:top="1417" w:right="1417" w:bottom="1417" w:left="1417" w:header="851" w:footer="992" w:gutter="0"/>
          <w:pgNumType w:fmt="decimal"/>
          <w:cols w:space="720" w:num="1"/>
          <w:docGrid w:type="linesAndChars" w:linePitch="312" w:charSpace="0"/>
        </w:sectPr>
      </w:pPr>
    </w:p>
    <w:p>
      <w:pPr>
        <w:adjustRightInd w:val="0"/>
        <w:jc w:val="left"/>
        <w:rPr>
          <w:rFonts w:hint="eastAsia" w:ascii="黑体" w:hAnsi="黑体" w:eastAsia="黑体"/>
          <w:sz w:val="32"/>
        </w:rPr>
      </w:pPr>
      <w:r>
        <w:rPr>
          <w:rFonts w:hint="eastAsia" w:ascii="黑体" w:hAnsi="黑体" w:eastAsia="黑体"/>
          <w:sz w:val="32"/>
        </w:rPr>
        <w:t>附件3：</w:t>
      </w:r>
    </w:p>
    <w:p>
      <w:pPr>
        <w:adjustRightInd w:val="0"/>
        <w:jc w:val="left"/>
        <w:rPr>
          <w:rFonts w:hint="eastAsia" w:ascii="黑体" w:hAnsi="黑体" w:eastAsia="黑体"/>
          <w:sz w:val="32"/>
        </w:rPr>
      </w:pPr>
    </w:p>
    <w:p>
      <w:pPr>
        <w:jc w:val="center"/>
        <w:rPr>
          <w:rFonts w:ascii="宋体" w:hAnsi="宋体" w:eastAsia="宋体"/>
          <w:b/>
          <w:color w:val="auto"/>
          <w:sz w:val="44"/>
          <w:szCs w:val="44"/>
        </w:rPr>
      </w:pPr>
      <w:r>
        <w:rPr>
          <w:rFonts w:hint="eastAsia" w:ascii="宋体" w:hAnsi="宋体" w:eastAsia="宋体" w:cs="仿宋_GB2312"/>
          <w:b/>
          <w:color w:val="auto"/>
          <w:kern w:val="0"/>
          <w:sz w:val="44"/>
          <w:szCs w:val="44"/>
          <w:lang w:eastAsia="zh-CN"/>
        </w:rPr>
        <w:t>历城</w:t>
      </w:r>
      <w:r>
        <w:rPr>
          <w:rFonts w:hint="eastAsia" w:ascii="宋体" w:hAnsi="宋体" w:eastAsia="宋体" w:cs="仿宋_GB2312"/>
          <w:b/>
          <w:color w:val="auto"/>
          <w:kern w:val="0"/>
          <w:sz w:val="44"/>
          <w:szCs w:val="44"/>
        </w:rPr>
        <w:t>区市场监管指标工作群</w:t>
      </w:r>
    </w:p>
    <w:p>
      <w:pPr>
        <w:rPr>
          <w:rFonts w:hint="eastAsia" w:eastAsia="仿宋_GB2312"/>
          <w:lang w:eastAsia="zh-CN"/>
        </w:rPr>
      </w:pPr>
      <w:r>
        <w:rPr>
          <w:rFonts w:hint="eastAsia" w:eastAsia="仿宋_GB2312"/>
          <w:lang w:eastAsia="zh-CN"/>
        </w:rPr>
        <w:drawing>
          <wp:inline distT="0" distB="0" distL="114300" distR="114300">
            <wp:extent cx="5758180" cy="6341110"/>
            <wp:effectExtent l="0" t="0" r="13970" b="2540"/>
            <wp:docPr id="1" name="图片 1" descr="9ea1e5370af8a8319ad6a86cc89ce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ea1e5370af8a8319ad6a86cc89ced3"/>
                    <pic:cNvPicPr>
                      <a:picLocks noChangeAspect="1"/>
                    </pic:cNvPicPr>
                  </pic:nvPicPr>
                  <pic:blipFill>
                    <a:blip r:embed="rId6"/>
                    <a:stretch>
                      <a:fillRect/>
                    </a:stretch>
                  </pic:blipFill>
                  <pic:spPr>
                    <a:xfrm>
                      <a:off x="0" y="0"/>
                      <a:ext cx="5758180" cy="6341110"/>
                    </a:xfrm>
                    <a:prstGeom prst="rect">
                      <a:avLst/>
                    </a:prstGeom>
                  </pic:spPr>
                </pic:pic>
              </a:graphicData>
            </a:graphic>
          </wp:inline>
        </w:drawing>
      </w:r>
    </w:p>
    <w:sectPr>
      <w:pgSz w:w="11906" w:h="16838"/>
      <w:pgMar w:top="1417" w:right="1417" w:bottom="1417" w:left="141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altName w:val="Arial Unicode MS"/>
    <w:panose1 w:val="02000000000000000000"/>
    <w:charset w:val="86"/>
    <w:family w:val="script"/>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 w:name="方正小标宋简体">
    <w:panose1 w:val="03000509000000000000"/>
    <w:charset w:val="86"/>
    <w:family w:val="script"/>
    <w:pitch w:val="default"/>
    <w:sig w:usb0="00000001" w:usb1="080E0000" w:usb2="00000000" w:usb3="00000000" w:csb0="00040000" w:csb1="00000000"/>
  </w:font>
  <w:font w:name="文星仿宋">
    <w:altName w:val="仿宋"/>
    <w:panose1 w:val="02010604000101010101"/>
    <w:charset w:val="86"/>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FZKTK--GBK1-0">
    <w:altName w:val="Arial Unicode MS"/>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sz w:val="24"/>
        <w:szCs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jc w:val="right"/>
                          </w:pP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9</w:t>
                          </w:r>
                          <w:r>
                            <w:rPr>
                              <w:sz w:val="24"/>
                              <w:szCs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FTMQafRAQAAogMAAA4AAAAAAAAAAQAgAAAAHgEAAGRy&#10;cy9lMm9Eb2MueG1sUEsFBgAAAAAGAAYAWQEAAGEFAAAAAA==&#10;">
              <v:fill on="f" focussize="0,0"/>
              <v:stroke on="f"/>
              <v:imagedata o:title=""/>
              <o:lock v:ext="edit" aspectratio="f"/>
              <v:textbox inset="0mm,0mm,0mm,0mm" style="mso-fit-shape-to-text:t;">
                <w:txbxContent>
                  <w:p>
                    <w:pPr>
                      <w:pStyle w:val="2"/>
                      <w:jc w:val="right"/>
                    </w:pP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9</w:t>
                    </w:r>
                    <w:r>
                      <w:rPr>
                        <w:sz w:val="24"/>
                        <w:szCs w:val="24"/>
                      </w:rPr>
                      <w:fldChar w:fldCharType="end"/>
                    </w:r>
                  </w:p>
                </w:txbxContent>
              </v:textbox>
            </v:shape>
          </w:pict>
        </mc:Fallback>
      </mc:AlternateContent>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pP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14</w:t>
                          </w:r>
                          <w:r>
                            <w:rPr>
                              <w:sz w:val="24"/>
                              <w:szCs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G6V/17RAQAAogMAAA4AAAAAAAAAAQAgAAAAHgEAAGRy&#10;cy9lMm9Eb2MueG1sUEsFBgAAAAAGAAYAWQEAAGEFAAAAAA==&#10;">
              <v:fill on="f" focussize="0,0"/>
              <v:stroke on="f"/>
              <v:imagedata o:title=""/>
              <o:lock v:ext="edit" aspectratio="f"/>
              <v:textbox inset="0mm,0mm,0mm,0mm" style="mso-fit-shape-to-text:t;">
                <w:txbxContent>
                  <w:p>
                    <w:pPr>
                      <w:pStyle w:val="2"/>
                    </w:pP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14</w:t>
                    </w:r>
                    <w:r>
                      <w:rPr>
                        <w:sz w:val="24"/>
                        <w:szCs w:val="24"/>
                      </w:rPr>
                      <w:fldChar w:fldCharType="end"/>
                    </w:r>
                  </w:p>
                </w:txbxContent>
              </v:textbox>
            </v:shape>
          </w:pict>
        </mc:Fallback>
      </mc:AlternateConten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A24B2F"/>
    <w:rsid w:val="02BE039C"/>
    <w:rsid w:val="02D30FCA"/>
    <w:rsid w:val="04615FFD"/>
    <w:rsid w:val="06BB3A6D"/>
    <w:rsid w:val="0D1A4BA4"/>
    <w:rsid w:val="0D906EB4"/>
    <w:rsid w:val="0DA61E56"/>
    <w:rsid w:val="0E1D2128"/>
    <w:rsid w:val="0EDA66A4"/>
    <w:rsid w:val="0EFE53E9"/>
    <w:rsid w:val="108345F3"/>
    <w:rsid w:val="149F3338"/>
    <w:rsid w:val="1692495C"/>
    <w:rsid w:val="189474FD"/>
    <w:rsid w:val="19DE42C2"/>
    <w:rsid w:val="1AA24B2F"/>
    <w:rsid w:val="1DC106F5"/>
    <w:rsid w:val="1DEE5BC7"/>
    <w:rsid w:val="1FAC5B48"/>
    <w:rsid w:val="1FC87FE2"/>
    <w:rsid w:val="20B5796A"/>
    <w:rsid w:val="24C43B5B"/>
    <w:rsid w:val="2ABB64BA"/>
    <w:rsid w:val="33453C90"/>
    <w:rsid w:val="35BC2B89"/>
    <w:rsid w:val="3AA3509B"/>
    <w:rsid w:val="3B9D5446"/>
    <w:rsid w:val="3C6176A8"/>
    <w:rsid w:val="3D925FC2"/>
    <w:rsid w:val="3FE9420C"/>
    <w:rsid w:val="427A6068"/>
    <w:rsid w:val="429E7321"/>
    <w:rsid w:val="42E46C56"/>
    <w:rsid w:val="47D4369F"/>
    <w:rsid w:val="47E964E9"/>
    <w:rsid w:val="48DA6621"/>
    <w:rsid w:val="49CE699F"/>
    <w:rsid w:val="49EB4D59"/>
    <w:rsid w:val="4A545343"/>
    <w:rsid w:val="4BCD3ACB"/>
    <w:rsid w:val="4BE27F6A"/>
    <w:rsid w:val="4C7F3DBE"/>
    <w:rsid w:val="4E025A9D"/>
    <w:rsid w:val="4E412D69"/>
    <w:rsid w:val="4EFC7557"/>
    <w:rsid w:val="52781A4C"/>
    <w:rsid w:val="5343254A"/>
    <w:rsid w:val="545746AB"/>
    <w:rsid w:val="55CE646F"/>
    <w:rsid w:val="5763337C"/>
    <w:rsid w:val="5FCA3D19"/>
    <w:rsid w:val="63737459"/>
    <w:rsid w:val="64B8481E"/>
    <w:rsid w:val="69F71B9D"/>
    <w:rsid w:val="6CAF63F2"/>
    <w:rsid w:val="6D37D28D"/>
    <w:rsid w:val="6E3904F2"/>
    <w:rsid w:val="6F13749D"/>
    <w:rsid w:val="706423CE"/>
    <w:rsid w:val="707519F4"/>
    <w:rsid w:val="707D670A"/>
    <w:rsid w:val="75E0179A"/>
    <w:rsid w:val="79442807"/>
    <w:rsid w:val="7ADF79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21"/>
      <w:szCs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2021-10-14T16:00:00Z</dcterms:created>
  <dc:creator>Administrator</dc:creator>
  <cp:lastModifiedBy>mypc</cp:lastModifiedBy>
  <dcterms:modified xsi:type="dcterms:W3CDTF">2021-10-19T08:07:47Z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DBD630CB17D542A39783E70953167EDC</vt:lpwstr>
  </property>
</Properties>
</file>