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6" w:lineRule="exact"/>
        <w:rPr>
          <w:rFonts w:ascii="宋体" w:hAnsi="宋体" w:eastAsia="文星仿宋"/>
          <w:b/>
          <w:sz w:val="32"/>
          <w:szCs w:val="32"/>
        </w:rPr>
      </w:pPr>
      <w:r>
        <w:rPr>
          <w:rFonts w:hint="eastAsia" w:ascii="宋体" w:hAnsi="宋体" w:eastAsia="文星仿宋"/>
          <w:b/>
          <w:sz w:val="32"/>
          <w:szCs w:val="32"/>
        </w:rPr>
        <w:t xml:space="preserve"> </w:t>
      </w:r>
    </w:p>
    <w:p>
      <w:pPr>
        <w:spacing w:line="616" w:lineRule="exact"/>
        <w:rPr>
          <w:rFonts w:ascii="宋体" w:hAnsi="宋体" w:eastAsia="文星仿宋"/>
          <w:b/>
          <w:sz w:val="32"/>
          <w:szCs w:val="32"/>
        </w:rPr>
      </w:pPr>
    </w:p>
    <w:p>
      <w:pPr>
        <w:spacing w:line="616" w:lineRule="exact"/>
        <w:rPr>
          <w:rFonts w:ascii="宋体" w:hAnsi="宋体" w:eastAsia="文星仿宋"/>
          <w:b/>
          <w:sz w:val="32"/>
          <w:szCs w:val="32"/>
        </w:rPr>
      </w:pPr>
    </w:p>
    <w:p>
      <w:pPr>
        <w:spacing w:line="616" w:lineRule="exact"/>
        <w:jc w:val="center"/>
        <w:rPr>
          <w:rFonts w:ascii="宋体" w:hAnsi="宋体" w:eastAsia="文星标宋"/>
          <w:b/>
          <w:sz w:val="44"/>
          <w:szCs w:val="44"/>
        </w:rPr>
      </w:pPr>
      <w:r>
        <w:rPr>
          <w:rFonts w:hint="eastAsia" w:ascii="宋体" w:hAnsi="宋体" w:eastAsia="文星标宋"/>
          <w:b/>
          <w:sz w:val="44"/>
          <w:szCs w:val="44"/>
        </w:rPr>
        <w:t>济南市钢城区人民政府</w:t>
      </w:r>
    </w:p>
    <w:p>
      <w:pPr>
        <w:spacing w:line="616" w:lineRule="exact"/>
        <w:jc w:val="center"/>
        <w:rPr>
          <w:rFonts w:ascii="宋体" w:hAnsi="宋体" w:eastAsia="文星标宋"/>
          <w:b/>
          <w:sz w:val="44"/>
          <w:szCs w:val="44"/>
        </w:rPr>
      </w:pPr>
      <w:r>
        <w:rPr>
          <w:rFonts w:hint="eastAsia" w:ascii="宋体" w:hAnsi="宋体" w:eastAsia="文星标宋"/>
          <w:b/>
          <w:sz w:val="44"/>
          <w:szCs w:val="44"/>
        </w:rPr>
        <w:t>关于印发济南市钢城区在市场监管领域全面</w:t>
      </w:r>
    </w:p>
    <w:p>
      <w:pPr>
        <w:spacing w:line="616" w:lineRule="exact"/>
        <w:jc w:val="center"/>
        <w:rPr>
          <w:rFonts w:ascii="宋体" w:hAnsi="宋体" w:eastAsia="文星标宋"/>
          <w:b/>
          <w:sz w:val="44"/>
          <w:szCs w:val="44"/>
        </w:rPr>
      </w:pPr>
      <w:r>
        <w:rPr>
          <w:rFonts w:hint="eastAsia" w:ascii="宋体" w:hAnsi="宋体" w:eastAsia="文星标宋"/>
          <w:b/>
          <w:sz w:val="44"/>
          <w:szCs w:val="44"/>
        </w:rPr>
        <w:t>推行部门联合“双随机、一公开”监管</w:t>
      </w:r>
    </w:p>
    <w:p>
      <w:pPr>
        <w:spacing w:line="616" w:lineRule="exact"/>
        <w:jc w:val="center"/>
        <w:rPr>
          <w:rFonts w:ascii="宋体" w:hAnsi="宋体" w:eastAsia="文星标宋"/>
          <w:b/>
          <w:sz w:val="44"/>
          <w:szCs w:val="44"/>
        </w:rPr>
      </w:pPr>
      <w:r>
        <w:rPr>
          <w:rFonts w:hint="eastAsia" w:ascii="宋体" w:hAnsi="宋体" w:eastAsia="文星标宋"/>
          <w:b/>
          <w:sz w:val="44"/>
          <w:szCs w:val="44"/>
        </w:rPr>
        <w:t>实施方案的通知</w:t>
      </w:r>
    </w:p>
    <w:p>
      <w:pPr>
        <w:spacing w:line="616" w:lineRule="exact"/>
        <w:rPr>
          <w:rFonts w:ascii="宋体" w:hAnsi="宋体" w:eastAsia="文星仿宋"/>
          <w:b/>
          <w:sz w:val="32"/>
          <w:szCs w:val="32"/>
        </w:rPr>
      </w:pPr>
    </w:p>
    <w:p>
      <w:pPr>
        <w:spacing w:line="616" w:lineRule="exact"/>
        <w:rPr>
          <w:rFonts w:ascii="宋体" w:hAnsi="宋体" w:eastAsia="文星仿宋"/>
          <w:b/>
          <w:sz w:val="32"/>
          <w:szCs w:val="32"/>
        </w:rPr>
      </w:pPr>
      <w:r>
        <w:rPr>
          <w:rFonts w:hint="eastAsia" w:ascii="宋体" w:hAnsi="宋体" w:eastAsia="文星仿宋"/>
          <w:b/>
          <w:sz w:val="32"/>
          <w:szCs w:val="32"/>
        </w:rPr>
        <w:t>各街道（功能区）办事处（管委会），区政府各部门，区属各企事业单位：</w:t>
      </w:r>
    </w:p>
    <w:p>
      <w:pPr>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现将《济南市钢城区在市场监管领域全面推行部门联合“双随机、一公开”监管实施方案》印发给你们，请认真贯彻执行。</w:t>
      </w:r>
    </w:p>
    <w:p>
      <w:pPr>
        <w:spacing w:line="616" w:lineRule="exact"/>
        <w:rPr>
          <w:rFonts w:ascii="宋体" w:hAnsi="宋体" w:eastAsia="文星仿宋"/>
          <w:b/>
          <w:sz w:val="32"/>
          <w:szCs w:val="32"/>
        </w:rPr>
      </w:pPr>
    </w:p>
    <w:p>
      <w:pPr>
        <w:spacing w:line="616" w:lineRule="exact"/>
        <w:rPr>
          <w:rFonts w:ascii="宋体" w:hAnsi="宋体" w:eastAsia="文星仿宋"/>
          <w:b/>
          <w:sz w:val="32"/>
          <w:szCs w:val="32"/>
        </w:rPr>
      </w:pPr>
    </w:p>
    <w:p>
      <w:pPr>
        <w:spacing w:line="616" w:lineRule="exact"/>
        <w:rPr>
          <w:rFonts w:ascii="宋体" w:hAnsi="宋体" w:eastAsia="文星仿宋"/>
          <w:b/>
          <w:sz w:val="32"/>
          <w:szCs w:val="32"/>
        </w:rPr>
      </w:pPr>
    </w:p>
    <w:p>
      <w:pPr>
        <w:spacing w:line="616" w:lineRule="exact"/>
        <w:ind w:firstLine="4658" w:firstLineChars="1450"/>
        <w:rPr>
          <w:rFonts w:ascii="宋体" w:hAnsi="宋体" w:eastAsia="文星仿宋"/>
          <w:b/>
          <w:sz w:val="32"/>
          <w:szCs w:val="32"/>
        </w:rPr>
      </w:pPr>
      <w:r>
        <w:rPr>
          <w:rFonts w:hint="eastAsia" w:ascii="宋体" w:hAnsi="宋体" w:eastAsia="文星仿宋"/>
          <w:b/>
          <w:sz w:val="32"/>
          <w:szCs w:val="32"/>
        </w:rPr>
        <w:t>济南市钢城区人民政府</w:t>
      </w:r>
      <w:bookmarkStart w:id="0" w:name="_GoBack"/>
      <w:bookmarkEnd w:id="0"/>
    </w:p>
    <w:p>
      <w:pPr>
        <w:spacing w:line="616" w:lineRule="exact"/>
        <w:ind w:firstLine="5140" w:firstLineChars="1600"/>
        <w:rPr>
          <w:rFonts w:ascii="宋体" w:hAnsi="宋体" w:eastAsia="文星仿宋"/>
          <w:b/>
          <w:sz w:val="32"/>
          <w:szCs w:val="32"/>
        </w:rPr>
      </w:pPr>
      <w:r>
        <w:rPr>
          <w:rFonts w:hint="eastAsia" w:ascii="宋体" w:hAnsi="宋体" w:eastAsia="文星仿宋"/>
          <w:b/>
          <w:sz w:val="32"/>
          <w:szCs w:val="32"/>
        </w:rPr>
        <w:t>2021 年12月3日</w:t>
      </w:r>
    </w:p>
    <w:p>
      <w:pPr>
        <w:spacing w:line="616" w:lineRule="exact"/>
        <w:rPr>
          <w:rFonts w:ascii="宋体" w:hAnsi="宋体" w:eastAsia="文星仿宋"/>
          <w:b/>
          <w:sz w:val="32"/>
          <w:szCs w:val="32"/>
        </w:rPr>
      </w:pPr>
    </w:p>
    <w:p>
      <w:pPr>
        <w:spacing w:line="616" w:lineRule="exact"/>
        <w:rPr>
          <w:rFonts w:ascii="宋体" w:hAnsi="宋体" w:eastAsia="文星仿宋"/>
          <w:b/>
          <w:sz w:val="32"/>
          <w:szCs w:val="32"/>
        </w:rPr>
      </w:pPr>
      <w:r>
        <w:rPr>
          <w:rFonts w:hint="eastAsia" w:ascii="宋体" w:hAnsi="宋体" w:eastAsia="文星仿宋"/>
          <w:b/>
          <w:sz w:val="32"/>
          <w:szCs w:val="32"/>
        </w:rPr>
        <w:t xml:space="preserve">    </w:t>
      </w:r>
    </w:p>
    <w:p>
      <w:pPr>
        <w:spacing w:line="616" w:lineRule="exact"/>
        <w:rPr>
          <w:rFonts w:ascii="宋体" w:hAnsi="宋体" w:eastAsia="文星仿宋"/>
          <w:b/>
          <w:sz w:val="32"/>
          <w:szCs w:val="32"/>
        </w:rPr>
      </w:pPr>
    </w:p>
    <w:p>
      <w:pPr>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（此件公开发布）</w:t>
      </w:r>
    </w:p>
    <w:p>
      <w:pPr>
        <w:spacing w:line="616" w:lineRule="exact"/>
        <w:jc w:val="center"/>
        <w:rPr>
          <w:rFonts w:ascii="宋体" w:hAnsi="宋体" w:eastAsia="文星标宋"/>
          <w:b/>
          <w:sz w:val="44"/>
          <w:szCs w:val="44"/>
        </w:rPr>
      </w:pPr>
    </w:p>
    <w:p>
      <w:pPr>
        <w:spacing w:line="616" w:lineRule="exact"/>
        <w:jc w:val="center"/>
        <w:rPr>
          <w:rFonts w:ascii="宋体" w:hAnsi="宋体" w:eastAsia="文星标宋"/>
          <w:b/>
          <w:sz w:val="44"/>
          <w:szCs w:val="44"/>
        </w:rPr>
      </w:pPr>
    </w:p>
    <w:p>
      <w:pPr>
        <w:spacing w:line="616" w:lineRule="exact"/>
        <w:jc w:val="center"/>
        <w:rPr>
          <w:rFonts w:ascii="宋体" w:hAnsi="宋体" w:eastAsia="文星标宋"/>
          <w:b/>
          <w:sz w:val="44"/>
          <w:szCs w:val="44"/>
        </w:rPr>
      </w:pPr>
      <w:r>
        <w:rPr>
          <w:rFonts w:hint="eastAsia" w:ascii="宋体" w:hAnsi="宋体" w:eastAsia="文星标宋"/>
          <w:b/>
          <w:sz w:val="44"/>
          <w:szCs w:val="44"/>
        </w:rPr>
        <w:t>济南市钢城区在市场监管领域全面推行</w:t>
      </w:r>
    </w:p>
    <w:p>
      <w:pPr>
        <w:spacing w:line="616" w:lineRule="exact"/>
        <w:jc w:val="center"/>
        <w:rPr>
          <w:rFonts w:ascii="宋体" w:hAnsi="宋体" w:eastAsia="文星标宋"/>
          <w:b/>
          <w:sz w:val="44"/>
          <w:szCs w:val="44"/>
        </w:rPr>
      </w:pPr>
      <w:r>
        <w:rPr>
          <w:rFonts w:hint="eastAsia" w:ascii="宋体" w:hAnsi="宋体" w:eastAsia="文星标宋"/>
          <w:b/>
          <w:sz w:val="44"/>
          <w:szCs w:val="44"/>
        </w:rPr>
        <w:t>部门联合“双随机、一公开”监管实施方案</w:t>
      </w:r>
    </w:p>
    <w:p>
      <w:pPr>
        <w:spacing w:line="616" w:lineRule="exact"/>
        <w:rPr>
          <w:rFonts w:ascii="宋体" w:hAnsi="宋体" w:eastAsia="文星仿宋"/>
          <w:b/>
          <w:sz w:val="32"/>
          <w:szCs w:val="32"/>
        </w:rPr>
      </w:pPr>
    </w:p>
    <w:p>
      <w:pPr>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 xml:space="preserve">为贯彻落实党中央、国务院关于在市场监管领域全面推行“双随机、一公开”监管的重大决策部署，根据《济南市人民政府关于印发济南市在市场监管领域全面推行部门联合“双随机、一公开”监管实施方案的通知》（济政发〔2019〕16号）要求，结合我区实际，制定本实施方案。 </w:t>
      </w:r>
    </w:p>
    <w:p>
      <w:pPr>
        <w:spacing w:line="616" w:lineRule="exact"/>
        <w:ind w:firstLine="643" w:firstLineChars="200"/>
        <w:rPr>
          <w:rFonts w:ascii="宋体" w:hAnsi="宋体" w:eastAsia="黑体"/>
          <w:b/>
          <w:sz w:val="32"/>
          <w:szCs w:val="32"/>
        </w:rPr>
      </w:pPr>
      <w:r>
        <w:rPr>
          <w:rFonts w:hint="eastAsia" w:ascii="宋体" w:hAnsi="宋体" w:eastAsia="黑体"/>
          <w:b/>
          <w:sz w:val="32"/>
          <w:szCs w:val="32"/>
        </w:rPr>
        <w:t>一、工作目标</w:t>
      </w:r>
    </w:p>
    <w:p>
      <w:pPr>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2021 年年底前，全区市场监管领域各部门联合监管常态化， 实现综合监管、智慧监管，以信用监管为基础的新型市场监管机制更加完善。</w:t>
      </w:r>
    </w:p>
    <w:p>
      <w:pPr>
        <w:spacing w:line="616" w:lineRule="exact"/>
        <w:ind w:firstLine="643" w:firstLineChars="200"/>
        <w:rPr>
          <w:rFonts w:ascii="黑体" w:hAnsi="黑体" w:eastAsia="黑体"/>
          <w:b/>
          <w:sz w:val="32"/>
          <w:szCs w:val="32"/>
        </w:rPr>
      </w:pPr>
      <w:r>
        <w:rPr>
          <w:rFonts w:hint="eastAsia" w:ascii="黑体" w:hAnsi="黑体" w:eastAsia="黑体"/>
          <w:b/>
          <w:sz w:val="32"/>
          <w:szCs w:val="32"/>
        </w:rPr>
        <w:t>二、重点工作要求</w:t>
      </w:r>
    </w:p>
    <w:p>
      <w:pPr>
        <w:spacing w:line="616" w:lineRule="exact"/>
        <w:ind w:firstLine="643" w:firstLineChars="200"/>
        <w:rPr>
          <w:rFonts w:ascii="宋体" w:hAnsi="宋体" w:eastAsia="文星仿宋"/>
          <w:b/>
          <w:sz w:val="32"/>
          <w:szCs w:val="32"/>
        </w:rPr>
      </w:pPr>
      <w:r>
        <w:rPr>
          <w:rFonts w:hint="eastAsia" w:ascii="文星楷体" w:hAnsi="宋体" w:eastAsia="文星楷体"/>
          <w:b/>
          <w:sz w:val="32"/>
          <w:szCs w:val="32"/>
        </w:rPr>
        <w:t>（一）统一监管工作平台。</w:t>
      </w:r>
      <w:r>
        <w:rPr>
          <w:rFonts w:hint="eastAsia" w:ascii="宋体" w:hAnsi="宋体" w:eastAsia="文星仿宋"/>
          <w:b/>
          <w:sz w:val="32"/>
          <w:szCs w:val="32"/>
        </w:rPr>
        <w:t>全区各有关部门要统一使用省政府“双随机、一公开”监管工作平台开展市场监管领域跨部门联合监管工作，实行全程电子化管理和抽查检查信息的共享应用。随机抽查事项清单、年度抽查工作计划、抽查检查结果自动推送到公示系统公示。</w:t>
      </w:r>
    </w:p>
    <w:p>
      <w:pPr>
        <w:spacing w:line="616" w:lineRule="exact"/>
        <w:ind w:firstLine="643" w:firstLineChars="200"/>
        <w:rPr>
          <w:rFonts w:ascii="宋体" w:hAnsi="宋体" w:eastAsia="文星仿宋"/>
          <w:b/>
          <w:sz w:val="32"/>
          <w:szCs w:val="32"/>
        </w:rPr>
      </w:pPr>
      <w:r>
        <w:rPr>
          <w:rFonts w:hint="eastAsia" w:ascii="文星楷体" w:hAnsi="宋体" w:eastAsia="文星楷体"/>
          <w:b/>
          <w:sz w:val="32"/>
          <w:szCs w:val="32"/>
        </w:rPr>
        <w:t>（二）完善随机抽查事项清单。</w:t>
      </w:r>
      <w:r>
        <w:rPr>
          <w:rFonts w:hint="eastAsia" w:ascii="宋体" w:hAnsi="宋体" w:eastAsia="文星仿宋"/>
          <w:b/>
          <w:sz w:val="32"/>
          <w:szCs w:val="32"/>
        </w:rPr>
        <w:t>区各有关部门要根据全省统一的市场监管领域随机抽查事项清单和各自工作职能，做好抽查事项的比对、认领及调整工作。随机抽查事项分为重点检查事项和一般检查事项。严格控制重点检查事项的数量和一般检查事项的抽查比例，其抽查比例和频次按照省统一规定或上级部门要求确定。</w:t>
      </w:r>
    </w:p>
    <w:p>
      <w:pPr>
        <w:spacing w:line="616" w:lineRule="exact"/>
        <w:ind w:firstLine="643" w:firstLineChars="200"/>
        <w:rPr>
          <w:rFonts w:ascii="宋体" w:hAnsi="宋体" w:eastAsia="文星仿宋"/>
          <w:b/>
          <w:sz w:val="32"/>
          <w:szCs w:val="32"/>
        </w:rPr>
      </w:pPr>
      <w:r>
        <w:rPr>
          <w:rFonts w:hint="eastAsia" w:ascii="文星楷体" w:hAnsi="宋体" w:eastAsia="文星楷体"/>
          <w:b/>
          <w:sz w:val="32"/>
          <w:szCs w:val="32"/>
        </w:rPr>
        <w:t>（三）建立随机抽查“两库”。</w:t>
      </w:r>
      <w:r>
        <w:rPr>
          <w:rFonts w:hint="eastAsia" w:ascii="宋体" w:hAnsi="宋体" w:eastAsia="文星仿宋"/>
          <w:b/>
          <w:sz w:val="32"/>
          <w:szCs w:val="32"/>
        </w:rPr>
        <w:t>区各有关部门要根据省统一建设标准建立健全与部门抽查事项清单、职责相对应的检查对象名录库和执法检查人员名录库（统称“两库”），并对“两库”进行动态管理。确保检查对象全面、准确，本辖区综合执法队伍包括具有行政执法资格的行政执法类公务员、工作人员全部纳入执法人员名录库。</w:t>
      </w:r>
    </w:p>
    <w:p>
      <w:pPr>
        <w:spacing w:line="616" w:lineRule="exact"/>
        <w:ind w:firstLine="643" w:firstLineChars="200"/>
        <w:rPr>
          <w:rFonts w:ascii="文星楷体" w:hAnsi="宋体" w:eastAsia="文星楷体"/>
          <w:b/>
          <w:sz w:val="32"/>
          <w:szCs w:val="32"/>
        </w:rPr>
      </w:pPr>
      <w:r>
        <w:rPr>
          <w:rFonts w:hint="eastAsia" w:ascii="文星楷体" w:hAnsi="宋体" w:eastAsia="文星楷体"/>
          <w:b/>
          <w:sz w:val="32"/>
          <w:szCs w:val="32"/>
        </w:rPr>
        <w:t>（四）统筹制定抽查工作计划。</w:t>
      </w:r>
      <w:r>
        <w:rPr>
          <w:rFonts w:hint="eastAsia" w:ascii="宋体" w:hAnsi="宋体" w:eastAsia="文星仿宋"/>
          <w:b/>
          <w:sz w:val="32"/>
          <w:szCs w:val="32"/>
        </w:rPr>
        <w:t>区市场监管领域各相关部门应根据区政府和上级工作安排，结合各自监管实际制订</w:t>
      </w:r>
      <w:r>
        <w:rPr>
          <w:rFonts w:hint="eastAsia" w:ascii="宋体" w:hAnsi="宋体" w:eastAsia="文星仿宋"/>
          <w:b/>
          <w:color w:val="000000" w:themeColor="text1"/>
          <w:sz w:val="32"/>
          <w:szCs w:val="32"/>
        </w:rPr>
        <w:t>年度抽查工作计划，可</w:t>
      </w:r>
      <w:r>
        <w:rPr>
          <w:rFonts w:hint="eastAsia" w:ascii="宋体" w:hAnsi="宋体" w:eastAsia="文星仿宋"/>
          <w:b/>
          <w:sz w:val="32"/>
          <w:szCs w:val="32"/>
        </w:rPr>
        <w:t>以根据工作实际情况进行动态调整。工作计划及调整情况应及时报区市场监管局备案。抽查工作计划应涵盖《清单》全部事项，明确抽查事项、检查对象、抽查比例、抽查时限、抽查发起部门和参与部门等。抽查工作计划的制定应综合考虑不同检查对象的风险等级和信用水平。对于低风险检查对象，可适当降低抽查比例和频次；对高风险检查对象和失信市场主体实施重点监督检查，适当提高抽查比例和频次。通过抽查，保证必要的抽查覆盖面和监管效果，又防止任意检查和执法扰民。</w:t>
      </w:r>
    </w:p>
    <w:p>
      <w:pPr>
        <w:spacing w:line="616" w:lineRule="exact"/>
        <w:ind w:firstLine="643" w:firstLineChars="200"/>
        <w:rPr>
          <w:rFonts w:ascii="宋体" w:hAnsi="宋体" w:eastAsia="文星仿宋"/>
          <w:b/>
          <w:sz w:val="32"/>
          <w:szCs w:val="32"/>
        </w:rPr>
      </w:pPr>
      <w:r>
        <w:rPr>
          <w:rFonts w:hint="eastAsia" w:ascii="文星楷体" w:hAnsi="宋体" w:eastAsia="文星楷体"/>
          <w:b/>
          <w:sz w:val="32"/>
          <w:szCs w:val="32"/>
        </w:rPr>
        <w:t>（五）科学实施抽查检查。</w:t>
      </w:r>
      <w:r>
        <w:rPr>
          <w:rFonts w:hint="eastAsia" w:ascii="宋体" w:hAnsi="宋体" w:eastAsia="文星仿宋"/>
          <w:b/>
          <w:sz w:val="32"/>
          <w:szCs w:val="32"/>
        </w:rPr>
        <w:t>部门联合抽查的发起部门作为牵头单位，负责具体工作的组织实施。发起部门要坚持问题导向，科学选取参与部门抽查事项和检查对象范围，有效整合检查内容和流程，兼顾各部门监管需求，做好不同执法部门之间的人员对接、监管职能衔接、执法程序衔接等工作，切实形成工作合力。各参与部门要积极选配人员、装备，以满足部门联合抽查工作要求。根据法律法规规定和监管领域、执法队伍实际情况，针对不同风险等级、信用水平的检查对象，可采取综合联查、风险分类联查、专项整治联查等形式落实抽查计划，采取实地核查、书面检查、网络监测等方式进行检查。涉及专业领域的，可以委托会计师事务所、税务师事务所、律师事务所等第三方开展审计、验资、咨询等相关工作，或依法采用其他政府部门的检查结论、司法机关生效文书或专业机构鉴定结论。</w:t>
      </w:r>
    </w:p>
    <w:p>
      <w:pPr>
        <w:spacing w:line="616" w:lineRule="exact"/>
        <w:ind w:firstLine="643" w:firstLineChars="200"/>
        <w:rPr>
          <w:rFonts w:ascii="宋体" w:hAnsi="宋体" w:eastAsia="文星仿宋"/>
          <w:b/>
          <w:sz w:val="32"/>
          <w:szCs w:val="32"/>
        </w:rPr>
      </w:pPr>
      <w:r>
        <w:rPr>
          <w:rFonts w:hint="eastAsia" w:ascii="文星楷体" w:hAnsi="宋体" w:eastAsia="文星楷体"/>
          <w:b/>
          <w:sz w:val="32"/>
          <w:szCs w:val="32"/>
        </w:rPr>
        <w:t>（六）严格执行抽查结果公示。</w:t>
      </w:r>
      <w:r>
        <w:rPr>
          <w:rFonts w:hint="eastAsia" w:ascii="宋体" w:hAnsi="宋体" w:eastAsia="文星仿宋"/>
          <w:b/>
          <w:sz w:val="32"/>
          <w:szCs w:val="32"/>
        </w:rPr>
        <w:t>抽查任务完成后，牵头部门应组织执法检查人员及时汇总检查情况，形成检查结论，并按照“谁检查、谁录入、谁公开”的原则，在20个工作日内将抽查结果依法录入省工作平台，由省工作平台推送至公示系统（山东）进行公示。对抽查发现的违法违规行为，按照“谁主管、谁监管，谁监管、谁负责”的原则，加强后续监管工作，依法加大惩处力度，涉嫌犯罪的，及时移送司法机关。联合检查工作中形成的执法证据和抽查检查结果，各部门应共享互认，促进“双随机、一公开”监管与信用监管有效衔接，对违法失信行为开展联合惩戒，形成强大震慑，使守法企业一路畅通，违法企业处处受阻，增强企业守法自觉性。</w:t>
      </w:r>
    </w:p>
    <w:p>
      <w:pPr>
        <w:spacing w:line="616" w:lineRule="exact"/>
        <w:ind w:firstLine="643" w:firstLineChars="200"/>
        <w:rPr>
          <w:rFonts w:ascii="黑体" w:hAnsi="黑体" w:eastAsia="黑体"/>
          <w:b/>
          <w:sz w:val="32"/>
          <w:szCs w:val="32"/>
        </w:rPr>
      </w:pPr>
      <w:r>
        <w:rPr>
          <w:rFonts w:hint="eastAsia" w:ascii="黑体" w:hAnsi="黑体" w:eastAsia="黑体"/>
          <w:b/>
          <w:sz w:val="32"/>
          <w:szCs w:val="32"/>
        </w:rPr>
        <w:t>三、保障措施</w:t>
      </w:r>
    </w:p>
    <w:p>
      <w:pPr>
        <w:spacing w:line="616" w:lineRule="exact"/>
        <w:ind w:firstLine="643" w:firstLineChars="200"/>
        <w:rPr>
          <w:rFonts w:ascii="宋体" w:hAnsi="宋体" w:eastAsia="文星仿宋"/>
          <w:b/>
          <w:sz w:val="32"/>
          <w:szCs w:val="32"/>
        </w:rPr>
      </w:pPr>
      <w:r>
        <w:rPr>
          <w:rFonts w:hint="eastAsia" w:ascii="文星楷体" w:hAnsi="宋体" w:eastAsia="文星楷体"/>
          <w:b/>
          <w:sz w:val="32"/>
          <w:szCs w:val="32"/>
        </w:rPr>
        <w:t>（一）加强组织领导。</w:t>
      </w:r>
      <w:r>
        <w:rPr>
          <w:rFonts w:hint="eastAsia" w:ascii="宋体" w:hAnsi="宋体" w:eastAsia="文星仿宋"/>
          <w:b/>
          <w:sz w:val="32"/>
          <w:szCs w:val="32"/>
        </w:rPr>
        <w:t>建立钢城区“双随机、一公开”监管工作联席会议制度，负责研究解决全区联合随机抽查工作中的问题，协调落实部门职责，加强联合执法和监督管理。统筹制定部门联合抽查年度计划，坚持问题导向，以实现执法效果和经济社会效益最大化为目标，科学确定部门联合随机抽查的事项和发起、参与部门。</w:t>
      </w:r>
    </w:p>
    <w:p>
      <w:pPr>
        <w:spacing w:line="616" w:lineRule="exact"/>
        <w:ind w:firstLine="643" w:firstLineChars="200"/>
        <w:rPr>
          <w:rFonts w:ascii="宋体" w:hAnsi="宋体" w:eastAsia="文星仿宋"/>
          <w:b/>
          <w:sz w:val="32"/>
          <w:szCs w:val="32"/>
        </w:rPr>
      </w:pPr>
      <w:r>
        <w:rPr>
          <w:rFonts w:hint="eastAsia" w:ascii="文星楷体" w:hAnsi="宋体" w:eastAsia="文星楷体"/>
          <w:b/>
          <w:sz w:val="32"/>
          <w:szCs w:val="32"/>
        </w:rPr>
        <w:t>（二）公正执法强化责任落实。</w:t>
      </w:r>
      <w:r>
        <w:rPr>
          <w:rFonts w:hint="eastAsia" w:ascii="宋体" w:hAnsi="宋体" w:eastAsia="文星仿宋"/>
          <w:b/>
          <w:sz w:val="32"/>
          <w:szCs w:val="32"/>
        </w:rPr>
        <w:t>区市场监管领域各相关部门开展“双随机、一公开”监管工作应当严格依法依规执行，不得妨碍被检查对象正常的生产经营活动。坚持“尽职照单免责、失职照单问责”的原则，进一步增强责任意识，对未履行、不当履行或违法履行“双随机、一公开” 监管职责的，依法依规严肃处理。</w:t>
      </w:r>
    </w:p>
    <w:p>
      <w:pPr>
        <w:spacing w:line="616" w:lineRule="exact"/>
        <w:ind w:firstLine="643" w:firstLineChars="200"/>
        <w:rPr>
          <w:rFonts w:ascii="宋体" w:hAnsi="宋体" w:eastAsia="文星仿宋"/>
          <w:b/>
          <w:sz w:val="32"/>
          <w:szCs w:val="32"/>
        </w:rPr>
      </w:pPr>
      <w:r>
        <w:rPr>
          <w:rFonts w:hint="eastAsia" w:ascii="文星楷体" w:hAnsi="宋体" w:eastAsia="文星楷体"/>
          <w:b/>
          <w:sz w:val="32"/>
          <w:szCs w:val="32"/>
        </w:rPr>
        <w:t>（三）宣传培训营造氛围。</w:t>
      </w:r>
      <w:r>
        <w:rPr>
          <w:rFonts w:hint="eastAsia" w:ascii="宋体" w:hAnsi="宋体" w:eastAsia="文星仿宋"/>
          <w:b/>
          <w:sz w:val="32"/>
          <w:szCs w:val="32"/>
        </w:rPr>
        <w:t>加强执法队伍建设，强化执法检查人员业务培训，提升跨部门“双随机、一公开”监管综合能力和水平。广泛宣传市场监管领域部门联合抽查的意义，增强企业主动配合意识，加快形成政府公正监管、企业诚信自律、社会公众监督的良好氛围。</w:t>
      </w:r>
    </w:p>
    <w:p>
      <w:pPr>
        <w:spacing w:line="616" w:lineRule="exact"/>
        <w:ind w:firstLine="643" w:firstLineChars="200"/>
        <w:rPr>
          <w:rFonts w:ascii="宋体" w:hAnsi="宋体" w:eastAsia="文星仿宋"/>
          <w:b/>
          <w:sz w:val="32"/>
          <w:szCs w:val="32"/>
        </w:rPr>
      </w:pPr>
    </w:p>
    <w:p>
      <w:pPr>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附件：济南市钢城区部门联合“双随机、一公开”监管工作</w:t>
      </w:r>
    </w:p>
    <w:p>
      <w:pPr>
        <w:spacing w:line="616" w:lineRule="exact"/>
        <w:ind w:firstLine="1606" w:firstLineChars="500"/>
        <w:rPr>
          <w:rFonts w:ascii="文星楷体" w:hAnsi="宋体" w:eastAsia="文星楷体"/>
          <w:b/>
          <w:color w:val="FF0000"/>
          <w:sz w:val="32"/>
          <w:szCs w:val="32"/>
        </w:rPr>
      </w:pPr>
      <w:r>
        <w:rPr>
          <w:rFonts w:hint="eastAsia" w:ascii="宋体" w:hAnsi="宋体" w:eastAsia="文星仿宋"/>
          <w:b/>
          <w:sz w:val="32"/>
          <w:szCs w:val="32"/>
        </w:rPr>
        <w:t>联席会议成员名单</w:t>
      </w:r>
    </w:p>
    <w:p>
      <w:pPr>
        <w:spacing w:line="616" w:lineRule="exact"/>
        <w:ind w:firstLine="643" w:firstLineChars="200"/>
        <w:rPr>
          <w:rFonts w:ascii="文星楷体" w:hAnsi="宋体" w:eastAsia="文星楷体"/>
          <w:b/>
          <w:color w:val="FF0000"/>
          <w:sz w:val="32"/>
          <w:szCs w:val="32"/>
        </w:rPr>
      </w:pPr>
    </w:p>
    <w:p>
      <w:pPr>
        <w:spacing w:line="616" w:lineRule="exact"/>
        <w:ind w:firstLine="643" w:firstLineChars="200"/>
        <w:rPr>
          <w:rFonts w:ascii="文星楷体" w:hAnsi="宋体" w:eastAsia="文星楷体"/>
          <w:b/>
          <w:color w:val="FF0000"/>
          <w:sz w:val="32"/>
          <w:szCs w:val="32"/>
        </w:rPr>
      </w:pPr>
    </w:p>
    <w:p>
      <w:pPr>
        <w:spacing w:line="616" w:lineRule="exact"/>
        <w:rPr>
          <w:rFonts w:ascii="宋体" w:hAnsi="宋体" w:eastAsia="文星仿宋"/>
          <w:b/>
          <w:sz w:val="32"/>
          <w:szCs w:val="32"/>
        </w:rPr>
      </w:pPr>
      <w:r>
        <w:rPr>
          <w:rFonts w:hint="eastAsia" w:ascii="宋体" w:hAnsi="宋体" w:eastAsia="文星仿宋"/>
          <w:b/>
          <w:sz w:val="32"/>
          <w:szCs w:val="32"/>
        </w:rPr>
        <w:t>附件</w:t>
      </w:r>
    </w:p>
    <w:p>
      <w:pPr>
        <w:spacing w:line="616" w:lineRule="exact"/>
        <w:jc w:val="center"/>
        <w:rPr>
          <w:rFonts w:ascii="文星标宋" w:hAnsi="宋体" w:eastAsia="文星标宋"/>
          <w:b/>
          <w:sz w:val="44"/>
          <w:szCs w:val="44"/>
        </w:rPr>
      </w:pPr>
    </w:p>
    <w:p>
      <w:pPr>
        <w:spacing w:line="616" w:lineRule="exact"/>
        <w:jc w:val="center"/>
        <w:rPr>
          <w:rFonts w:ascii="文星标宋" w:hAnsi="宋体" w:eastAsia="文星标宋"/>
          <w:b/>
          <w:sz w:val="44"/>
          <w:szCs w:val="44"/>
        </w:rPr>
      </w:pPr>
      <w:r>
        <w:rPr>
          <w:rFonts w:hint="eastAsia" w:ascii="文星标宋" w:hAnsi="宋体" w:eastAsia="文星标宋"/>
          <w:b/>
          <w:sz w:val="44"/>
          <w:szCs w:val="44"/>
        </w:rPr>
        <w:t>济南市钢城区部门联合“双随机、一公开”</w:t>
      </w:r>
    </w:p>
    <w:p>
      <w:pPr>
        <w:spacing w:line="616" w:lineRule="exact"/>
        <w:jc w:val="center"/>
        <w:rPr>
          <w:rFonts w:ascii="文星标宋" w:hAnsi="宋体" w:eastAsia="文星标宋"/>
          <w:b/>
          <w:sz w:val="44"/>
          <w:szCs w:val="44"/>
        </w:rPr>
      </w:pPr>
      <w:r>
        <w:rPr>
          <w:rFonts w:hint="eastAsia" w:ascii="文星标宋" w:hAnsi="宋体" w:eastAsia="文星标宋"/>
          <w:b/>
          <w:sz w:val="44"/>
          <w:szCs w:val="44"/>
        </w:rPr>
        <w:t>监管工作联席会议成员名单</w:t>
      </w:r>
    </w:p>
    <w:p>
      <w:pPr>
        <w:spacing w:line="616" w:lineRule="exact"/>
        <w:rPr>
          <w:rFonts w:ascii="文星标宋" w:hAnsi="宋体" w:eastAsia="文星标宋"/>
          <w:b/>
          <w:sz w:val="44"/>
          <w:szCs w:val="44"/>
        </w:rPr>
      </w:pPr>
    </w:p>
    <w:p>
      <w:pPr>
        <w:spacing w:line="616" w:lineRule="exact"/>
        <w:ind w:firstLine="643" w:firstLineChars="200"/>
        <w:rPr>
          <w:rFonts w:ascii="宋体" w:hAnsi="宋体" w:eastAsia="文星仿宋"/>
          <w:b/>
          <w:sz w:val="32"/>
          <w:szCs w:val="32"/>
        </w:rPr>
      </w:pPr>
      <w:r>
        <w:rPr>
          <w:rFonts w:hint="eastAsia" w:ascii="黑体" w:hAnsi="黑体" w:eastAsia="黑体"/>
          <w:b/>
          <w:sz w:val="32"/>
          <w:szCs w:val="32"/>
        </w:rPr>
        <w:t>召 集 人：</w:t>
      </w:r>
      <w:r>
        <w:rPr>
          <w:rFonts w:hint="eastAsia" w:ascii="宋体" w:hAnsi="宋体" w:eastAsia="文星仿宋"/>
          <w:b/>
          <w:sz w:val="32"/>
          <w:szCs w:val="32"/>
        </w:rPr>
        <w:t>李秀芳  区政府副区长</w:t>
      </w:r>
    </w:p>
    <w:p>
      <w:pPr>
        <w:spacing w:line="616" w:lineRule="exact"/>
        <w:ind w:firstLine="643" w:firstLineChars="200"/>
        <w:rPr>
          <w:rFonts w:ascii="宋体" w:hAnsi="宋体" w:eastAsia="文星仿宋"/>
          <w:b/>
          <w:sz w:val="32"/>
          <w:szCs w:val="32"/>
        </w:rPr>
      </w:pPr>
      <w:r>
        <w:rPr>
          <w:rFonts w:hint="eastAsia" w:ascii="黑体" w:hAnsi="黑体" w:eastAsia="黑体"/>
          <w:b/>
          <w:sz w:val="32"/>
          <w:szCs w:val="32"/>
        </w:rPr>
        <w:t>副召集人：</w:t>
      </w:r>
      <w:r>
        <w:rPr>
          <w:rFonts w:hint="eastAsia" w:ascii="宋体" w:hAnsi="宋体" w:eastAsia="文星仿宋"/>
          <w:b/>
          <w:sz w:val="32"/>
          <w:szCs w:val="32"/>
        </w:rPr>
        <w:t>孙守彬</w:t>
      </w:r>
      <w:r>
        <w:rPr>
          <w:rFonts w:hint="eastAsia" w:ascii="宋体" w:hAnsi="宋体" w:eastAsia="文星仿宋"/>
          <w:b/>
          <w:sz w:val="32"/>
          <w:szCs w:val="32"/>
        </w:rPr>
        <w:tab/>
      </w:r>
      <w:r>
        <w:rPr>
          <w:rFonts w:hint="eastAsia" w:ascii="宋体" w:hAnsi="宋体" w:eastAsia="文星仿宋"/>
          <w:b/>
          <w:sz w:val="32"/>
          <w:szCs w:val="32"/>
        </w:rPr>
        <w:t xml:space="preserve"> 区市场监督管理局党组书记</w:t>
      </w:r>
    </w:p>
    <w:p>
      <w:pPr>
        <w:spacing w:line="616" w:lineRule="exact"/>
        <w:ind w:firstLine="643" w:firstLineChars="200"/>
        <w:rPr>
          <w:rFonts w:ascii="宋体" w:hAnsi="宋体" w:eastAsia="文星仿宋"/>
          <w:b/>
          <w:sz w:val="32"/>
          <w:szCs w:val="32"/>
        </w:rPr>
      </w:pPr>
      <w:r>
        <w:rPr>
          <w:rFonts w:hint="eastAsia" w:ascii="黑体" w:hAnsi="黑体" w:eastAsia="黑体"/>
          <w:b/>
          <w:sz w:val="32"/>
          <w:szCs w:val="32"/>
        </w:rPr>
        <w:t>成    员：</w:t>
      </w:r>
      <w:r>
        <w:rPr>
          <w:rFonts w:hint="eastAsia" w:ascii="宋体" w:hAnsi="宋体" w:eastAsia="文星仿宋"/>
          <w:b/>
          <w:sz w:val="32"/>
          <w:szCs w:val="32"/>
        </w:rPr>
        <w:t>王加速  区发展和改革局党组成员、二级调研员</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张彬国  区教育和体育局党组成员、区教育事业</w:t>
      </w:r>
    </w:p>
    <w:p>
      <w:pPr>
        <w:spacing w:line="616" w:lineRule="exact"/>
        <w:ind w:firstLine="3534" w:firstLineChars="11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发展中心（区招生考试服务中心）正处</w:t>
      </w:r>
    </w:p>
    <w:p>
      <w:pPr>
        <w:spacing w:line="616" w:lineRule="exact"/>
        <w:ind w:firstLine="3534" w:firstLineChars="11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级干部</w:t>
      </w:r>
    </w:p>
    <w:p>
      <w:pPr>
        <w:spacing w:line="616" w:lineRule="exact"/>
        <w:ind w:left="3519" w:leftChars="1064" w:hanging="1285" w:hangingChars="4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刘继平  区民政局党组成员、区民政综合服务中</w:t>
      </w:r>
    </w:p>
    <w:p>
      <w:pPr>
        <w:spacing w:line="616" w:lineRule="exact"/>
        <w:ind w:left="3511" w:leftChars="1672"/>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心（区社会组织服务中心、区养老服务</w:t>
      </w:r>
    </w:p>
    <w:p>
      <w:pPr>
        <w:spacing w:line="616" w:lineRule="exact"/>
        <w:ind w:left="3511" w:leftChars="1672"/>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指导中心）正科级，区委非公有制经济</w:t>
      </w:r>
    </w:p>
    <w:p>
      <w:pPr>
        <w:spacing w:line="616" w:lineRule="exact"/>
        <w:ind w:left="3511" w:leftChars="1672"/>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组织和社会组织工作委员会副书记记</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张升云  区司法局副局长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李  茜  区财政局党组成员、区财政综合服务中</w:t>
      </w:r>
    </w:p>
    <w:p>
      <w:pPr>
        <w:spacing w:line="616" w:lineRule="exact"/>
        <w:ind w:firstLine="3534" w:firstLineChars="11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心（区财政预算绩效评价中心）正科级</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李  静  区人力资源和社会保障局副局长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李凤华  区自然资源局副局长、区林业局副局长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许延林  区住房和城乡建设局党组成员、二级调</w:t>
      </w:r>
    </w:p>
    <w:p>
      <w:pPr>
        <w:spacing w:line="616" w:lineRule="exact"/>
        <w:ind w:firstLine="3534" w:firstLineChars="11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研员</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尚青华  区城乡交通运输局法规科科长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 xml:space="preserve">孙  波  </w:t>
      </w:r>
      <w:r>
        <w:rPr>
          <w:rFonts w:hint="eastAsia" w:ascii="宋体" w:hAnsi="宋体" w:eastAsia="文星仿宋"/>
          <w:b/>
          <w:color w:val="000000" w:themeColor="text1"/>
          <w:spacing w:val="-20"/>
          <w:sz w:val="32"/>
          <w:szCs w:val="32"/>
        </w:rPr>
        <w:t>区城乡水务局党组成员、副处级领导干部</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王凤昌</w:t>
      </w:r>
      <w:r>
        <w:rPr>
          <w:rFonts w:hint="eastAsia" w:ascii="宋体" w:hAnsi="宋体" w:eastAsia="文星仿宋"/>
          <w:b/>
          <w:color w:val="000000" w:themeColor="text1"/>
          <w:sz w:val="32"/>
          <w:szCs w:val="32"/>
        </w:rPr>
        <w:tab/>
      </w:r>
      <w:r>
        <w:rPr>
          <w:rFonts w:hint="eastAsia" w:ascii="宋体" w:hAnsi="宋体" w:eastAsia="文星仿宋"/>
          <w:b/>
          <w:color w:val="000000" w:themeColor="text1"/>
          <w:sz w:val="32"/>
          <w:szCs w:val="32"/>
        </w:rPr>
        <w:t xml:space="preserve"> 区农业农村局党组成员，区乡村振兴局</w:t>
      </w:r>
    </w:p>
    <w:p>
      <w:pPr>
        <w:spacing w:line="616" w:lineRule="exact"/>
        <w:ind w:firstLine="3534" w:firstLineChars="11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副局长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胥长征  区卫生健康局副局长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苏国良</w:t>
      </w:r>
      <w:r>
        <w:rPr>
          <w:rFonts w:hint="eastAsia" w:ascii="宋体" w:hAnsi="宋体" w:eastAsia="文星仿宋"/>
          <w:b/>
          <w:color w:val="000000" w:themeColor="text1"/>
          <w:sz w:val="32"/>
          <w:szCs w:val="32"/>
        </w:rPr>
        <w:tab/>
      </w:r>
      <w:r>
        <w:rPr>
          <w:rFonts w:hint="eastAsia" w:ascii="宋体" w:hAnsi="宋体" w:eastAsia="文星仿宋"/>
          <w:b/>
          <w:color w:val="000000" w:themeColor="text1"/>
          <w:sz w:val="32"/>
          <w:szCs w:val="32"/>
        </w:rPr>
        <w:t xml:space="preserve"> 区应急管理局党委委员、区安全生产监</w:t>
      </w:r>
    </w:p>
    <w:p>
      <w:pPr>
        <w:spacing w:line="616" w:lineRule="exact"/>
        <w:ind w:firstLine="3534" w:firstLineChars="11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察大队大队长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赵宪生  区市场监督管理局副局长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刘永国</w:t>
      </w:r>
      <w:r>
        <w:rPr>
          <w:rFonts w:hint="eastAsia" w:ascii="宋体" w:hAnsi="宋体" w:eastAsia="文星仿宋"/>
          <w:b/>
          <w:color w:val="000000" w:themeColor="text1"/>
          <w:sz w:val="32"/>
          <w:szCs w:val="32"/>
        </w:rPr>
        <w:tab/>
      </w:r>
      <w:r>
        <w:rPr>
          <w:rFonts w:hint="eastAsia" w:ascii="宋体" w:hAnsi="宋体" w:eastAsia="文星仿宋"/>
          <w:b/>
          <w:color w:val="000000" w:themeColor="text1"/>
          <w:sz w:val="32"/>
          <w:szCs w:val="32"/>
        </w:rPr>
        <w:t xml:space="preserve"> 区统计局副局长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姚凤振</w:t>
      </w:r>
      <w:r>
        <w:rPr>
          <w:rFonts w:hint="eastAsia" w:ascii="宋体" w:hAnsi="宋体" w:eastAsia="文星仿宋"/>
          <w:b/>
          <w:color w:val="000000" w:themeColor="text1"/>
          <w:sz w:val="32"/>
          <w:szCs w:val="32"/>
        </w:rPr>
        <w:tab/>
      </w:r>
      <w:r>
        <w:rPr>
          <w:rFonts w:hint="eastAsia" w:ascii="宋体" w:hAnsi="宋体" w:eastAsia="文星仿宋"/>
          <w:b/>
          <w:color w:val="000000" w:themeColor="text1"/>
          <w:sz w:val="32"/>
          <w:szCs w:val="32"/>
        </w:rPr>
        <w:t xml:space="preserve"> 区医疗保障局副局长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付德长  区投资促进局副局长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张  峰  区商务和物流发展中心（区企业技术进</w:t>
      </w:r>
    </w:p>
    <w:p>
      <w:pPr>
        <w:spacing w:line="616" w:lineRule="exact"/>
        <w:ind w:firstLine="3534" w:firstLineChars="11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步促进中心、区军民融合发展服务中</w:t>
      </w:r>
    </w:p>
    <w:p>
      <w:pPr>
        <w:spacing w:line="616" w:lineRule="exact"/>
        <w:ind w:firstLine="3534" w:firstLineChars="11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心）正科级</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卓兴国  区文化市场综合行政执法大队（市文化</w:t>
      </w:r>
    </w:p>
    <w:p>
      <w:pPr>
        <w:spacing w:line="616" w:lineRule="exact"/>
        <w:ind w:firstLine="3516" w:firstLineChars="1250"/>
        <w:rPr>
          <w:rFonts w:ascii="宋体" w:hAnsi="宋体" w:eastAsia="文星仿宋"/>
          <w:b/>
          <w:color w:val="000000" w:themeColor="text1"/>
          <w:spacing w:val="-20"/>
          <w:sz w:val="32"/>
          <w:szCs w:val="32"/>
        </w:rPr>
      </w:pPr>
      <w:r>
        <w:rPr>
          <w:rFonts w:hint="eastAsia" w:ascii="宋体" w:hAnsi="宋体" w:eastAsia="文星仿宋"/>
          <w:b/>
          <w:color w:val="000000" w:themeColor="text1"/>
          <w:spacing w:val="-20"/>
          <w:sz w:val="32"/>
          <w:szCs w:val="32"/>
        </w:rPr>
        <w:t>市场综合行政执法支队钢城大队）大队长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陈建成  市公安局钢城区分局治安大队正科级</w:t>
      </w:r>
    </w:p>
    <w:p>
      <w:pPr>
        <w:spacing w:line="616" w:lineRule="exact"/>
        <w:ind w:firstLine="3534" w:firstLineChars="11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领导干部</w:t>
      </w:r>
    </w:p>
    <w:p>
      <w:pPr>
        <w:spacing w:line="616" w:lineRule="exact"/>
        <w:ind w:firstLine="2249" w:firstLineChars="700"/>
        <w:rPr>
          <w:rFonts w:ascii="宋体" w:hAnsi="宋体" w:eastAsia="文星仿宋"/>
          <w:b/>
          <w:sz w:val="32"/>
          <w:szCs w:val="32"/>
        </w:rPr>
      </w:pPr>
      <w:r>
        <w:rPr>
          <w:rFonts w:hint="eastAsia" w:ascii="宋体" w:hAnsi="宋体" w:eastAsia="文星仿宋"/>
          <w:b/>
          <w:color w:val="000000" w:themeColor="text1"/>
          <w:sz w:val="32"/>
          <w:szCs w:val="32"/>
        </w:rPr>
        <w:t>吴  华  市生态环境局</w:t>
      </w:r>
      <w:r>
        <w:rPr>
          <w:rFonts w:hint="eastAsia" w:ascii="宋体" w:hAnsi="宋体" w:eastAsia="文星仿宋"/>
          <w:b/>
          <w:sz w:val="32"/>
          <w:szCs w:val="32"/>
        </w:rPr>
        <w:t>钢城分局办公室主任</w:t>
      </w:r>
    </w:p>
    <w:p>
      <w:pPr>
        <w:spacing w:line="616" w:lineRule="exact"/>
        <w:ind w:firstLine="2249" w:firstLineChars="700"/>
        <w:rPr>
          <w:rFonts w:ascii="宋体" w:hAnsi="宋体" w:eastAsia="文星仿宋"/>
          <w:b/>
          <w:sz w:val="32"/>
          <w:szCs w:val="32"/>
        </w:rPr>
      </w:pPr>
      <w:r>
        <w:rPr>
          <w:rFonts w:hint="eastAsia" w:ascii="宋体" w:hAnsi="宋体" w:eastAsia="文星仿宋"/>
          <w:b/>
          <w:sz w:val="32"/>
          <w:szCs w:val="32"/>
        </w:rPr>
        <w:t>狄建琪  区税务局副局长</w:t>
      </w:r>
    </w:p>
    <w:p>
      <w:pPr>
        <w:spacing w:line="616" w:lineRule="exact"/>
        <w:ind w:firstLine="2249" w:firstLineChars="7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杨  骥  区消防大队初级专业技术</w:t>
      </w:r>
    </w:p>
    <w:p>
      <w:pPr>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 xml:space="preserve">联席会议办公室设在区市场监管局，孙守彬同志兼任办公室主任。今后，联席会议组成人员及办公室主任职务如有变动，由该成员单位接任领导自然替补，并由联席会议办公室负责通知。 </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文星楷体">
    <w:altName w:val="楷体_GB2312"/>
    <w:panose1 w:val="0201060900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BkYWQzMDUwZjY4NTY3NDRmN2ViOTVkMmVkNGI3YTUifQ=="/>
  </w:docVars>
  <w:rsids>
    <w:rsidRoot w:val="00B9220C"/>
    <w:rsid w:val="000555E7"/>
    <w:rsid w:val="00110E15"/>
    <w:rsid w:val="00114B03"/>
    <w:rsid w:val="00147F1E"/>
    <w:rsid w:val="00166E92"/>
    <w:rsid w:val="00176DD4"/>
    <w:rsid w:val="0017715E"/>
    <w:rsid w:val="001961DF"/>
    <w:rsid w:val="002350BB"/>
    <w:rsid w:val="00324D3C"/>
    <w:rsid w:val="00327052"/>
    <w:rsid w:val="004376D1"/>
    <w:rsid w:val="0058666C"/>
    <w:rsid w:val="005B34B9"/>
    <w:rsid w:val="006F1CA4"/>
    <w:rsid w:val="0075111E"/>
    <w:rsid w:val="00752B94"/>
    <w:rsid w:val="00793700"/>
    <w:rsid w:val="007A48CC"/>
    <w:rsid w:val="00875CD7"/>
    <w:rsid w:val="00893217"/>
    <w:rsid w:val="009A44C2"/>
    <w:rsid w:val="00B05844"/>
    <w:rsid w:val="00B9220C"/>
    <w:rsid w:val="00BE117A"/>
    <w:rsid w:val="00BE1871"/>
    <w:rsid w:val="00C12850"/>
    <w:rsid w:val="00D34313"/>
    <w:rsid w:val="00D87502"/>
    <w:rsid w:val="00DD66BE"/>
    <w:rsid w:val="00DF51D5"/>
    <w:rsid w:val="00E475B7"/>
    <w:rsid w:val="00F4542B"/>
    <w:rsid w:val="00F846A8"/>
    <w:rsid w:val="00FE6A21"/>
    <w:rsid w:val="013C511F"/>
    <w:rsid w:val="032721D8"/>
    <w:rsid w:val="1F5C26EB"/>
    <w:rsid w:val="21B371A5"/>
    <w:rsid w:val="27CB5FDE"/>
    <w:rsid w:val="34D23106"/>
    <w:rsid w:val="3CC107A9"/>
    <w:rsid w:val="3D5049C1"/>
    <w:rsid w:val="46082016"/>
    <w:rsid w:val="50ED2697"/>
    <w:rsid w:val="529E5F1A"/>
    <w:rsid w:val="5F0643B9"/>
    <w:rsid w:val="63123D49"/>
    <w:rsid w:val="68365C32"/>
    <w:rsid w:val="70AD4B5B"/>
    <w:rsid w:val="716F7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A8968-AC4E-4DFE-868E-E9C9F4B675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448</Words>
  <Characters>2559</Characters>
  <Lines>21</Lines>
  <Paragraphs>6</Paragraphs>
  <TotalTime>4859</TotalTime>
  <ScaleCrop>false</ScaleCrop>
  <LinksUpToDate>false</LinksUpToDate>
  <CharactersWithSpaces>3001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2020-12-09T01:58:00Z</dcterms:created>
  <dc:creator>Wxt</dc:creator>
  <cp:lastModifiedBy>知行合一</cp:lastModifiedBy>
  <cp:lastPrinted>2020-12-09T06:46:00Z</cp:lastPrinted>
  <dcterms:modified xsi:type="dcterms:W3CDTF">2022-09-15T00:57:57Z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13A782561E2847F8AE0C7522C841272B</vt:lpwstr>
  </property>
</Properties>
</file>