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600" w:lineRule="atLeast"/>
        <w:ind w:right="55"/>
        <w:jc w:val="both"/>
        <w:rPr>
          <w:rFonts w:hint="eastAsia" w:ascii="方正小标宋简体" w:eastAsia="方正小标宋简体"/>
          <w:color w:val="FF0000"/>
          <w:spacing w:val="60"/>
          <w:w w:val="103"/>
          <w:sz w:val="52"/>
          <w:szCs w:val="52"/>
        </w:rPr>
      </w:pPr>
      <w:r>
        <w:rPr>
          <w:rFonts w:hint="eastAsia" w:ascii="黑体" w:eastAsia="黑体"/>
          <w:spacing w:val="60"/>
          <w:w w:val="103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591185</wp:posOffset>
                </wp:positionV>
                <wp:extent cx="5309235" cy="10160"/>
                <wp:effectExtent l="0" t="28575" r="9525" b="3746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9235" cy="1016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4.8pt;margin-top:46.55pt;height:0.8pt;width:418.05pt;z-index:251659264;mso-width-relative:page;mso-height-relative:page;" filled="f" stroked="t" coordsize="21600,21600" o:gfxdata="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GAjyvVAAAACAEAAA8AAAAAAAAAAQAgAAAAIgAAAGRycy9kb3ducmV2LnhtbFBLAQIUABQA&#10;AAAIAIdO4kB//jXP8wEAAOYDAAAOAAAAAAAAAAEAIAAAACQBAABkcnMvZTJvRG9jLnhtbFBLBQYA&#10;AAAABgAGAFkBAACJ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60"/>
          <w:w w:val="103"/>
          <w:sz w:val="48"/>
          <w:szCs w:val="48"/>
        </w:rPr>
        <w:t>济南市</w:t>
      </w:r>
      <w:r>
        <w:rPr>
          <w:rFonts w:hint="eastAsia" w:ascii="方正小标宋简体" w:eastAsia="方正小标宋简体"/>
          <w:color w:val="FF0000"/>
          <w:spacing w:val="60"/>
          <w:w w:val="103"/>
          <w:sz w:val="48"/>
          <w:szCs w:val="48"/>
          <w:lang w:val="en-US" w:eastAsia="zh-CN"/>
        </w:rPr>
        <w:t>钢城</w:t>
      </w:r>
      <w:r>
        <w:rPr>
          <w:rFonts w:hint="eastAsia" w:ascii="方正小标宋简体" w:eastAsia="方正小标宋简体"/>
          <w:color w:val="FF0000"/>
          <w:spacing w:val="60"/>
          <w:w w:val="103"/>
          <w:sz w:val="48"/>
          <w:szCs w:val="48"/>
        </w:rPr>
        <w:t>区城乡交通运输局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"/>
          <w:sz w:val="44"/>
          <w:szCs w:val="44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"/>
          <w:sz w:val="44"/>
          <w:szCs w:val="44"/>
          <w:lang w:val="en-US" w:eastAsia="zh-CN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钢城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"/>
          <w:sz w:val="44"/>
          <w:szCs w:val="44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区城乡交通运输局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9"/>
          <w:sz w:val="44"/>
          <w:szCs w:val="44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76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9"/>
          <w:sz w:val="44"/>
          <w:szCs w:val="44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9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9"/>
          <w:sz w:val="44"/>
          <w:szCs w:val="44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年度“双随机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9"/>
          <w:sz w:val="44"/>
          <w:szCs w:val="44"/>
          <w:lang w:eastAsia="zh-CN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9"/>
          <w:sz w:val="44"/>
          <w:szCs w:val="44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一公开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9"/>
          <w:sz w:val="44"/>
          <w:szCs w:val="44"/>
          <w:lang w:eastAsia="zh-CN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抽查事项清单通知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有关单位、科室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根据省、市、区有关2022年度“双随机、一公开”工作相关要求，区城乡交通运输局制定了《济南市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钢城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区交通运输系统2022年度“双随机、一公开”抽查事项清单》和《济南市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钢城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区交通运输系统 2022 年度“双随机、一公开”抽查工作计划》，现印发给你们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请结合工作实际，认真贯彻执行。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钢城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区城乡交通运输局 2022 年度“双随机、一公开”抽查事项清单》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济南市钢城区城乡交通运输局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2022年1月27日</w:t>
      </w:r>
    </w:p>
    <w:p>
      <w:pP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4340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34"/>
        <w:gridCol w:w="1053"/>
        <w:gridCol w:w="2282"/>
        <w:gridCol w:w="1040"/>
        <w:gridCol w:w="1013"/>
        <w:gridCol w:w="1013"/>
        <w:gridCol w:w="1134"/>
        <w:gridCol w:w="1242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济南市钢城区城乡交通运输局“双随机、一公开”抽查事项清单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（2022年版）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权责清单事项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抽查事项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抽查内容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检查对象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事项类别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检查方式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抽查比例及频次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检查部门及实施层级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检查依据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对公路水运工程质量的监督检查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公路工程试验检测机构督查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对试验检测机构和工地试验室标准规范执行、工作规范性、内部运行管理等情况进行检查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重点公路水运建设项目的试验检测机构和工地试验室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全年抽查公路水运建设项目比例不低于10%，每年抽查1次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省、市、县级交通运输部门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《公路水运工程试验检测管理办法》（交通部令2005年第12号公布，交通运输部令2016年第80号修正）第四十二条。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对地方铁路工程质量的监督检查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地方铁路建设市场督查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地方铁路建设市场监管和市场主体行为，主要包括：建设程序、市场准入、招标投标、合同履约、农民工工资保障等方面法规制度的执行和监管情况，信用体系建设和应用情况，以及其他相关工作情况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重点地方铁路建设项目从业单位和从业人员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全年抽查重点铁路工程项目比例不低于10%，每年抽查1次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省、市、县级交通运输部门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bdr w:val="none" w:color="auto" w:sz="0" w:space="0"/>
                <w:lang w:val="en-US" w:eastAsia="zh-CN" w:bidi="ar"/>
              </w:rPr>
              <w:t>《铁路工程建设市场秩序监管暂行办法》（国铁工程监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﹝</w:t>
            </w:r>
            <w:r>
              <w:rPr>
                <w:rStyle w:val="7"/>
                <w:rFonts w:hAnsi="宋体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﹞</w:t>
            </w:r>
            <w:r>
              <w:rPr>
                <w:rStyle w:val="7"/>
                <w:rFonts w:hAnsi="宋体"/>
                <w:bdr w:val="none" w:color="auto" w:sz="0" w:space="0"/>
                <w:lang w:val="en-US" w:eastAsia="zh-CN" w:bidi="ar"/>
              </w:rPr>
              <w:t>3号）第六条。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对道路运输的监督检查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重点营运车辆联网联控系统运营企业检查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对企业监控平台（含企业自建平台和社会化平台）功能、数据等进行抽查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重点营运车辆联网联控系统运营平台运营企业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书面检查、网络监测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全年抽查比例不低于20%，每年抽查1次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省、市、县级交通运输部门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《道路运输车辆动态监督管理办法》（交通运输部公安部国家安全生产监督管理总局令2014年第5号发布，交通运输部令2016年第55号修正）第三十条、第三十三条。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道路危险货物运输企业检查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道路危险货物运输企业执行有关安全生产的法律、法规和国家标准或者行业标准情况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道路危险货物运输企业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全年抽查比例不低于5%，抽查频次根据监管需要确定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1.《安全生产法》（2002年6月通过，2021年6月10日第三次修正，自2021年9月1日起施行）第六十二条、第六十五条、第六十六条。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2.《山东省道路运输条例》（2010年11月通过，2020年11月27日第四次修正）第四十七条、第四十八条。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3.《危险货物道路运输安全管理办法》（中华人民共和国交通运输部令2019年第29号）第四条、第五十二条、第五十三条。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4.《道路运输车辆动态监督管理办法》（交通运输部公安部国家安全生产监督管理总局令2014年第5号公布，交通运输部令2016年第55号修正）第三十条、第三十三条第一款。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对道路普通货物运输企业的检查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道路普通货物运输企业执行有关安全生产的法律、法规和国家标准或者行业标准情况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道路普通货物运输企业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全年抽查比例不低于5%，抽查频次根据监管需要确定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1.《安全生产法》（2002年6月通过，2021年6月10日第三次修正，自2021年9月1日起施行）第六十二条、第六十五条、第六十六条。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2.《山东省道路运输条例》（2010年11月通过，2020年11月27日第四次修正）第四十七条、第四十八条。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3.《道路运输车辆动态监督管理办法》（交通运输部公安部国家安全生产监督管理总局令2014年第5号公布，交通运输部令2016年第55号修正）第三十条、第三十三条第一款。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旅游包车客运企业的监督抽查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旅游包车客运企业执行有关安全生产的法律、法规和国家标准或者行业标准情况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旅游包车客运企业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全年抽查比例不低于10%，每年抽查1次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省、市、县级交通运输部门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1.《安全生产法》（2002年6月通过，2021年6月10日第三次修正，自2021年9月1日起施行）第六十二条、第六十五条、第六十六条。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2.《山东省道路运输条例》（2010年11月通过，2020年11月27日第四次修正）第四十七条、第四十八条。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3.《道路运输车辆动态监督管理办法》（交通运输部公安部国家安全生产监督管理总局令2014年第5号公布，交通运输部令2016年第55号修正）第三十条、第三十三条第一款。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道路运输新业态（网络货运）企业检查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是否按照管理办法合规经营，加强网络监测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道路运输新业态（网络货运）经营企业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书面检查、网络监测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全年抽查比例不低于10%，每年抽查1次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省、市、县级交通运输部门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《网络平台道路货物运输经营管理暂行办法》第四条、第二十五条、第二十六条。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车辆维修企业经营情况的检查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对机动车维修经营者维修质量进行监督检查；对维修经营者是否依法备案或者备案事项是否属实进行监督检查等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汽车维修企业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全年抽查比例不低于1%，抽查频次根据监管需要确定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1.《道路运输条例》（2019）第三十九条。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2.《机动车维修管理规定》第三十五条、第四十五条。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对交通运输行业安全生产的监督检查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对公路水运建设工程的安全生产监督检查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落实公路水运建设工程安全生产有关工作要求、安全生产信用体系建设情况等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重点公路水运建设项目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全年抽查比例不低于10%，每年抽查1次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省、市、县级交通运输部门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1.《安全生产法》（2002年6月通过，2021年6月10日第三次修正，自2021年9月1日起施行）第十条。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2.《建设工程安全生产管理条例》全文。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3.《公路水运工程安全生产监督管理办法》全文。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4.《公路水运工程质量安全督查办法》全文。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对公路的监督检查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对涉路工程建设项目的抽查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涉路工程主要技术指标是否与许可施工图纸一致；损坏、占用的公路，公路附属设施、边沟、绿化是否按规定修复；交通安全防护设施是否设置齐全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涉路工程建设单位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全年抽查比例不低于5%，每年抽查1次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省、市、县级交通运输部门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1.《公路法》（1997年7月通过，2017年11月第五次修正）第七章第七十条。”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2.《公路安全保护条例》（2011年2月国务院令第593号）第二章第二十九条。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3.《山东省公路路政条例》（2013年8月通过，2020年7月修正）第十三条。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对建筑业企业资质及招标代理机构事中事后行为的监督检查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对建筑业企业资质及招标代理机构事中事后行为的监督检查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1.建筑业、工程监理企业资质合规情况。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2.招标代理机构依法依规从业情况。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建筑业、工程监理企业/招标代理机构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全年抽查比例不低于5%，抽查频次根据监管需要确定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1.《建筑法》第十三条、第二十六条、第三十四条。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2.《建筑业企业资质管理规定》第四条、第二十四条。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3.《工程监理企业资质管理规定》第四条、第十九条。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对各类工程建设标准实施情况的监督检查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对各类工程建设标准实施情况的监督检查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工程建设活动中各方主体对工程建设标准的执行情况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工程建设活动相关主体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全年抽查比例不低于5%，抽查频次根据监管需要确定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市、县级交通运输部门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1.《标准化法》第三十二条。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2.《建设工程质量管理条例》第四十七条。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3.《实施工程建设强制性标准监督规定》第四条。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4.《山东省工程建设标准化管理办法》第二十一条、第二十三条。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9B4405-E487-4C31-81D7-3D81F51AA5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717578-1BF3-4D53-A978-8837F96A4A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3CB077-9507-40D2-982F-637E96BEB4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1384C"/>
    <w:rsid w:val="01B879F4"/>
    <w:rsid w:val="31E1384C"/>
    <w:rsid w:val="32DA463D"/>
    <w:rsid w:val="364827E6"/>
    <w:rsid w:val="40336532"/>
    <w:rsid w:val="42C32FBC"/>
    <w:rsid w:val="51F326E1"/>
    <w:rsid w:val="52F21ED6"/>
    <w:rsid w:val="67CC719E"/>
    <w:rsid w:val="7974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41"/>
    <w:basedOn w:val="6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5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2022-01-27T09:27:00Z</dcterms:created>
  <dc:creator>WPS_1463737611</dc:creator>
  <cp:lastModifiedBy>WPS_1463737611</cp:lastModifiedBy>
  <dcterms:modified xsi:type="dcterms:W3CDTF">2022-01-29T09:11:03Z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B608DE83D78C44A5A147786EA4CF897E</vt:lpwstr>
  </property>
</Properties>
</file>