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color w:val="FF0000"/>
          <w:spacing w:val="28"/>
          <w:w w:val="48"/>
          <w:sz w:val="104"/>
          <w:szCs w:val="104"/>
        </w:rPr>
      </w:pPr>
      <w:r>
        <w:rPr>
          <w:rFonts w:hint="eastAsia" w:ascii="方正小标宋简体" w:hAnsi="宋体" w:eastAsia="方正小标宋简体"/>
          <w:color w:val="FF0000"/>
          <w:spacing w:val="28"/>
          <w:w w:val="48"/>
          <w:sz w:val="104"/>
          <w:szCs w:val="104"/>
        </w:rPr>
        <w:t>济南市天桥区市场监督管理局文件</w:t>
      </w:r>
    </w:p>
    <w:p>
      <w:pPr>
        <w:spacing w:line="560" w:lineRule="exact"/>
        <w:rPr>
          <w:rFonts w:ascii="宋体" w:hAnsi="宋体"/>
          <w:b/>
          <w:color w:val="FF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济天市监管发〔2022〕5号</w:t>
      </w:r>
    </w:p>
    <w:bookmarkEnd w:id="0"/>
    <w:p>
      <w:pPr>
        <w:pStyle w:val="3"/>
        <w:tabs>
          <w:tab w:val="left" w:pos="0"/>
        </w:tabs>
        <w:spacing w:after="0" w:line="400" w:lineRule="exact"/>
        <w:rPr>
          <w:rStyle w:val="13"/>
          <w:rFonts w:ascii="宋体" w:hAnsi="宋体" w:eastAsia="黑体"/>
          <w:b w:val="0"/>
          <w:bCs w:val="0"/>
          <w:color w:val="FFFF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5549900" cy="0"/>
                <wp:effectExtent l="14605" t="12700" r="17145" b="15875"/>
                <wp:wrapNone/>
                <wp:docPr id="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0.35pt;margin-top:12pt;height:0pt;width:437pt;z-index:251659264;mso-width-relative:page;mso-height-relative:page;" filled="f" stroked="t" coordsize="21600,21600" o:gfxdata="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yKrQ1AAAAAYBAAAPAAAAAAAAAAEAIAAAACIAAABkcnMvZG93bnJldi54bWxQSwECFAAUAAAACACH&#10;TuJADw5qdO8BAAC3AwAADgAAAAAAAAABACAAAAAj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ind w:left="4039" w:leftChars="-67" w:hanging="4180" w:hangingChars="950"/>
        <w:rPr>
          <w:rFonts w:ascii="方正小标宋简体" w:hAnsi="方正小标宋简体" w:eastAsia="方正小标宋简体" w:cs="黑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天桥区市场监督管理局关于</w:t>
      </w:r>
      <w:r>
        <w:rPr>
          <w:rFonts w:hint="eastAsia" w:ascii="方正小标宋简体" w:hAnsi="方正小标宋简体" w:eastAsia="方正小标宋简体" w:cs="黑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以信用监管为基础</w:t>
      </w:r>
    </w:p>
    <w:p>
      <w:pPr>
        <w:spacing w:line="600" w:lineRule="exact"/>
        <w:ind w:left="4039" w:leftChars="-67" w:hanging="4180" w:hangingChars="950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黑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强化事中事后监管</w:t>
      </w:r>
      <w:r>
        <w:rPr>
          <w:rFonts w:hint="eastAsia" w:ascii="方正小标宋简体" w:hAnsi="方正小标宋简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的意见</w:t>
      </w:r>
    </w:p>
    <w:p>
      <w:pPr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各市场监管所、科室、执法大队：</w:t>
      </w: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监管是适应发展新形势、破解监管新问题、创新监管新手段，提升治理新成效的重要手段，是构建诚信社会的重要基石。近年来，我局围绕区委区政府“1339”战略，不断完善企业信息公示、“双随机、一公开”监管和信用风险分类管理、信用修复等举措，助力市场主体健康发展，努力打造全区以诚信为基础的最优市场环境营造。为进一步发挥信用监管在市场监管领域的基础性作用，强化事中事后监管，结合我局实际制定如下意见，望贯彻执行。</w:t>
      </w:r>
    </w:p>
    <w:p>
      <w:pPr>
        <w:spacing w:line="596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596" w:lineRule="exact"/>
        <w:ind w:firstLine="63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以党的十九大精神和习近平新时代中国特色社会主义思想为指导，认真贯彻落实党中央、国务院关于“放管服”改革、优化营商环境的决策部署，紧紧围绕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省、市市场监管局及区委、区政府关于信用监管体系建设的任务要求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，坚持问题导向，主动对标对表，补短板、强弱项，健全监管体系，完善监管机制，全面提升信用监管效能，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为全区经济社会发展、持续优化营商环境注入新的活力。</w:t>
      </w:r>
    </w:p>
    <w:p>
      <w:pPr>
        <w:numPr>
          <w:ilvl w:val="0"/>
          <w:numId w:val="1"/>
        </w:numPr>
        <w:spacing w:line="596" w:lineRule="exact"/>
        <w:ind w:firstLine="579" w:firstLineChars="181"/>
        <w:jc w:val="lef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工作目标</w:t>
      </w:r>
    </w:p>
    <w:p>
      <w:pPr>
        <w:widowControl/>
        <w:spacing w:line="596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以“事前风险管理和公开信用承诺，事中风险分类和‘双随机、一公开’抽查，事后联合惩戒和信用修复”为主线，各相关单位协同联动，通力合作，明规矩与前、寓监管与中，施重惩于后，形成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以“双随机、一公开”监管和“互联网+监管”为基本手段、以重点监管为补充、以信用监管为基础的新型监管机制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96" w:lineRule="exact"/>
        <w:ind w:firstLine="640" w:firstLineChars="200"/>
        <w:jc w:val="left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三、工作原则</w:t>
      </w: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权责明晰。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照“管行业就要管信用、管业务就要管信用”的基本原则，强化主体责任，在原有监管方式的基础上，全面推进本业务领域事前、事中、事后全过程信用监管，把信用监管真正融入市场监管工作的各环节、全过程。</w:t>
      </w:r>
    </w:p>
    <w:p>
      <w:pPr>
        <w:spacing w:line="596" w:lineRule="exact"/>
        <w:ind w:firstLine="63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依法依规。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依据法律、法规及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关于涉企信息归集、信用修复、重点领域信用监管、信用风险分类及失信约束制度等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要求，依法履行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包括信用信息公示、信用风险分类、失信行为认定、失信惩戒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守信激励等在内的信用监管职责。</w:t>
      </w:r>
    </w:p>
    <w:p>
      <w:pPr>
        <w:spacing w:line="596" w:lineRule="exact"/>
        <w:ind w:firstLine="63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强化协同。充分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运用公示系统协同监管平台、“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”工作平台、“互联网+监管”等系统平台的登记（许可）、执法等数据，加强与市场监管领域相关职能部门的协作，提升事中事后监管能力，推进社会信用体系建设。</w:t>
      </w:r>
    </w:p>
    <w:p>
      <w:pPr>
        <w:spacing w:line="596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四、工作任务</w:t>
      </w:r>
    </w:p>
    <w:p>
      <w:pPr>
        <w:widowControl/>
        <w:shd w:val="clear" w:color="auto" w:fill="FFFFFF"/>
        <w:spacing w:line="596" w:lineRule="exact"/>
        <w:ind w:firstLine="640"/>
        <w:rPr>
          <w:rFonts w:ascii="方正楷体_GB2312" w:hAnsi="仿宋" w:eastAsia="方正楷体_GB2312" w:cs="仿宋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楷体_GB2312" w:hAnsi="仿宋" w:eastAsia="方正楷体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2312" w:hAnsi="仿宋" w:eastAsia="方正楷体_GB2312" w:cs="仿宋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落实“双随机、一公开”监管</w:t>
      </w:r>
    </w:p>
    <w:p>
      <w:pPr>
        <w:widowControl/>
        <w:shd w:val="clear" w:color="auto" w:fill="FFFFFF"/>
        <w:spacing w:line="596" w:lineRule="exact"/>
        <w:ind w:firstLine="64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《山东省市场监管系统“双随机、一公开”监管工作细则》、《山东省市场监管领域全面推行部门联合“双随机、一公开”监管的实施细则（试行）》等双随机工作规范要求，及时编制抽查事项清单、抽查计划并公示，建立抽查对象名录库、执法人员名录库和第三方专业机构库、专家学者库并根据实际情况进行动态调整、完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（责任单位：企业信用监管及各业务科室）</w:t>
      </w:r>
    </w:p>
    <w:p>
      <w:pPr>
        <w:widowControl/>
        <w:shd w:val="clear" w:color="auto" w:fill="FFFFFF"/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积极对接市局各业务处室，根据企业信用风险级别，合理确定、动态调整抽查比例和频次。落实牵头责任，强化对本业务条线部署的双随机抽查任务统筹、协调、指导，确保各自年度抽查清单、计划和抽查任务全覆盖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（责任单位：各业务科室）</w:t>
      </w:r>
    </w:p>
    <w:p>
      <w:pPr>
        <w:widowControl/>
        <w:shd w:val="clear" w:color="auto" w:fill="FFFFFF"/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保质、保量、按时完成上级发起的各项抽查任务，及时、准确的将抽查检查结果通过公示系统进行归集公示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（责任单位：各业务科室、市场监管所）</w:t>
      </w:r>
    </w:p>
    <w:p>
      <w:pPr>
        <w:widowControl/>
        <w:shd w:val="clear" w:color="auto" w:fill="FFFFFF"/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做好抽查任务中发现问题的后续处理工作，通过局内部及与各职能部门的信息互联互通共享、协同配合、有效衔接、形成监管闭环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(责任单位:各监管所、业务科室、执法大队）</w:t>
      </w:r>
    </w:p>
    <w:p>
      <w:pPr>
        <w:widowControl/>
        <w:shd w:val="clear" w:color="auto" w:fill="FFFFFF"/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对抽查过程中形成的工作资料、证据等，按照“一对象一档案”的要求，参考行政处罚案卷格式整理装订成抽查卷宗，归档长期保存。(责任单位:各监管所、业务科室、执法大队）</w:t>
      </w:r>
    </w:p>
    <w:p>
      <w:pPr>
        <w:spacing w:line="596" w:lineRule="exact"/>
        <w:ind w:firstLine="640" w:firstLineChars="200"/>
        <w:rPr>
          <w:rFonts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（二）切实用好信用监管工具   </w:t>
      </w:r>
    </w:p>
    <w:p>
      <w:pPr>
        <w:spacing w:line="596" w:lineRule="exact"/>
        <w:ind w:firstLine="640" w:firstLineChars="200"/>
        <w:rPr>
          <w:rStyle w:val="13"/>
          <w:rFonts w:ascii="方正楷体_GB2312" w:hAnsi="仿宋" w:eastAsia="方正楷体_GB2312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落实《市场监督管理严重违法失信名单管理办法》、《市场监督管理行政处罚信息公示规定》、《市场监督管理信用修复管理办法》及相关文件要求，构建放管结合、宽严相济、进退有序的信用监管新格局。相关单位应各负其责、协同配合，确保各业务条线涉及的严重违法失信名单管理、行政处罚信息公示和信用修复等工作按照“谁列入、谁管理、谁移出”、“谁办案、谁录入、谁负责”及“谁认定、谁修复”的原则履职到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责任单位:办公室、各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市场监管所、业务科室、执法大队）                </w:t>
      </w:r>
      <w:r>
        <w:rPr>
          <w:rFonts w:hint="eastAsia" w:ascii="方正楷体_GB2312" w:hAnsi="仿宋" w:eastAsia="方正楷体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9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（三）强化重点领域信用监管</w:t>
      </w: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食品、特种设备生产企业为切入点，按照国家市场监管总局及省、市市场监管局关于重点领域信用监管工作实施意见和方案的要求，以建立重点领域企业清单、全面归集重点领域企业信息、依法公示重点领域企业信息为关键点，以“事前公开承诺＋事中风险分类和‘双随机、一公开’监管＋事后联合惩戒信用修复” 为主线，积极推进信用承诺、大力推进信用风险分类管理、统筹推进重点监管和“双随机、一公开”监管，建立健全重点领域事前、事中、事后全流程信用监管机制，提高监管的精准性、协同性和规范化水平。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(责任单位:食品生产科、特种设备监察科、食品综合协调科、企业信用监管科、政策法规科等按职责分别负责）</w:t>
      </w:r>
    </w:p>
    <w:p>
      <w:pPr>
        <w:pStyle w:val="9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Style w:val="13"/>
          <w:rFonts w:ascii="方正楷体_GB2312" w:hAnsi="仿宋" w:eastAsia="方正楷体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楷体_GB2312" w:hAnsi="仿宋" w:eastAsia="方正楷体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（四）实施信用风险分类管理</w:t>
      </w:r>
    </w:p>
    <w:p>
      <w:pPr>
        <w:spacing w:line="596" w:lineRule="exact"/>
        <w:ind w:firstLine="640" w:firstLineChars="200"/>
        <w:rPr>
          <w:rStyle w:val="13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强化信用监管对重点领域监管的支撑作用，按照“通用+专业”的信用风险分级分类模式，积极应用食品药品、特种设备、重点工业产品质量安全等领域信用风险分类监管专门制度。对尚未建立专门制度的领域，按照《山东省市场监管系统企业信用风险分类管理办法（试行）》的要求，明确企业信用风险分类标准，与“双随机、一公开”监管、专业领域风险防控等有机结合，根据企业信用等级确定差异化的监管措施，提高监管及时性、精准性、有效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(责任单位：各业务科室按职责分别负责）</w:t>
      </w:r>
      <w:r>
        <w:rPr>
          <w:rStyle w:val="13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Style w:val="13"/>
          <w:rFonts w:ascii="方正楷体_GB2312" w:hAnsi="仿宋" w:eastAsia="方正楷体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楷体_GB2312" w:hAnsi="仿宋" w:eastAsia="方正楷体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（五）涉企信息归集公示</w:t>
      </w:r>
    </w:p>
    <w:p>
      <w:pPr>
        <w:pStyle w:val="9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树立“公示即监管”、“共享即监管”的理念，全面、及时认领、编制“互联网+监管”监管事项清单、检查实施清单并进行动态调整。将行政处罚、抽查检查（含监督检查、监督抽查等）结果等涉企信息，</w:t>
      </w:r>
      <w:r>
        <w:rPr>
          <w:rStyle w:val="13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按照“谁产生、谁提供，谁提供、谁负责”原则，依法依规及时归集到国家企业信用信息公示系统（山东），做到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监管数据“应归尽归”，为协同监管、精准监管、靶向监管提供数据支撑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责任单位:各市场监管所、业务科室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、执法大队）</w:t>
      </w:r>
    </w:p>
    <w:p>
      <w:pPr>
        <w:spacing w:line="596" w:lineRule="exact"/>
        <w:ind w:firstLine="960" w:firstLineChars="3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五、工作要求</w:t>
      </w:r>
    </w:p>
    <w:p>
      <w:pPr>
        <w:spacing w:line="596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信用监管是市场监管系统开展事中事后监管的基础，各单位要高度重视，统一思想，强化协同，力求取得实效。 </w:t>
      </w:r>
    </w:p>
    <w:p>
      <w:pPr>
        <w:spacing w:line="596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方正楷体_GB2312" w:hAnsi="仿宋" w:eastAsia="方正楷体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（二）严格责任落实。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信用监管工作是一项系统工程，各单位要确定骨干人员负责承办日常信用管理工作，按照职责分工，进一步明确目标、强化措施、分解任务、责任到人，形成各负其责、运转顺畅、齐抓共管的工作格局。</w:t>
      </w:r>
    </w:p>
    <w:p>
      <w:pPr>
        <w:spacing w:line="596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方正楷体_GB2312" w:hAnsi="仿宋" w:eastAsia="方正楷体_GB2312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（三）注重宣传培训。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信用监管工作是一项持久工程，各单位要在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履职过程中，加强对市场主体信用建设工作的宣传，努力营造信用体系建设的良好的舆论环境，同时要加强对监管人员的培训，熟练掌握信用监管业务知识和操作技能，全面提高市场综合监管效能。</w:t>
      </w:r>
    </w:p>
    <w:p>
      <w:pPr>
        <w:spacing w:line="596" w:lineRule="exact"/>
        <w:rPr>
          <w:rFonts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仿宋" w:eastAsia="方正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59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jc w:val="left"/>
        <w:rPr>
          <w:color w:val="000000" w:themeColor="text1"/>
          <w:kern w:val="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leftFromText="180" w:rightFromText="180" w:vertAnchor="text" w:horzAnchor="page" w:tblpX="1435" w:tblpY="1204"/>
        <w:tblW w:w="97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7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96" w:lineRule="exact"/>
              <w:jc w:val="center"/>
              <w:rPr>
                <w:rFonts w:ascii="方正楷体_GB2312" w:eastAsia="方正楷体_GB2312" w:cs="方正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天桥区市场监督管理局办公室                     2022年3月21日印发</w:t>
            </w:r>
          </w:p>
        </w:tc>
      </w:tr>
    </w:tbl>
    <w:p>
      <w:pPr>
        <w:spacing w:line="596" w:lineRule="exact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18" w:right="1304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C4CB88-7202-4FE1-982C-DF8A00CEE2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F7F2FD-490D-4E33-BA16-D27A4F75AD86}"/>
  </w:font>
  <w:font w:name="方正小标宋简体">
    <w:altName w:val="方正小标宋简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B09A88E-E18C-4272-BE49-29772E3435E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C28E1B-778D-45AD-A064-3272A53E78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76C5165-873E-4F1B-B154-A73C7136269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184060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184061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06BD6"/>
    <w:multiLevelType w:val="singleLevel"/>
    <w:tmpl w:val="6AE06B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jE5YTY3ZGIxYTMxOWE4ZjZmYzI3NzdkZGM0MmUifQ=="/>
  </w:docVars>
  <w:rsids>
    <w:rsidRoot w:val="00B03F09"/>
    <w:rsid w:val="00006901"/>
    <w:rsid w:val="00007C29"/>
    <w:rsid w:val="00017965"/>
    <w:rsid w:val="0006563F"/>
    <w:rsid w:val="00082CCB"/>
    <w:rsid w:val="00095FDE"/>
    <w:rsid w:val="000A273D"/>
    <w:rsid w:val="000B202C"/>
    <w:rsid w:val="000B3293"/>
    <w:rsid w:val="000C2397"/>
    <w:rsid w:val="000C5695"/>
    <w:rsid w:val="000D0DEB"/>
    <w:rsid w:val="000D1D4C"/>
    <w:rsid w:val="000E0E09"/>
    <w:rsid w:val="000E708D"/>
    <w:rsid w:val="000F1C77"/>
    <w:rsid w:val="00131C43"/>
    <w:rsid w:val="00136B60"/>
    <w:rsid w:val="00142D90"/>
    <w:rsid w:val="00156008"/>
    <w:rsid w:val="00157319"/>
    <w:rsid w:val="001A246E"/>
    <w:rsid w:val="002113EA"/>
    <w:rsid w:val="002309C5"/>
    <w:rsid w:val="00246168"/>
    <w:rsid w:val="0025752C"/>
    <w:rsid w:val="00265850"/>
    <w:rsid w:val="00272552"/>
    <w:rsid w:val="00272992"/>
    <w:rsid w:val="002734D4"/>
    <w:rsid w:val="002756DF"/>
    <w:rsid w:val="00277053"/>
    <w:rsid w:val="002861D1"/>
    <w:rsid w:val="002908DF"/>
    <w:rsid w:val="002D3F51"/>
    <w:rsid w:val="00332DB2"/>
    <w:rsid w:val="0037647A"/>
    <w:rsid w:val="00376661"/>
    <w:rsid w:val="00395389"/>
    <w:rsid w:val="00397333"/>
    <w:rsid w:val="003B0D26"/>
    <w:rsid w:val="003D4A29"/>
    <w:rsid w:val="003D61DA"/>
    <w:rsid w:val="003F41B2"/>
    <w:rsid w:val="003F716C"/>
    <w:rsid w:val="00412982"/>
    <w:rsid w:val="004169CB"/>
    <w:rsid w:val="00437671"/>
    <w:rsid w:val="00447D46"/>
    <w:rsid w:val="00451218"/>
    <w:rsid w:val="004773A6"/>
    <w:rsid w:val="00482CEB"/>
    <w:rsid w:val="00483291"/>
    <w:rsid w:val="004914E9"/>
    <w:rsid w:val="00494B86"/>
    <w:rsid w:val="004A286F"/>
    <w:rsid w:val="004B6AD1"/>
    <w:rsid w:val="00501436"/>
    <w:rsid w:val="00514D61"/>
    <w:rsid w:val="00517CAF"/>
    <w:rsid w:val="0055285C"/>
    <w:rsid w:val="00557CDC"/>
    <w:rsid w:val="00561578"/>
    <w:rsid w:val="00576B1E"/>
    <w:rsid w:val="00590EFB"/>
    <w:rsid w:val="005A3F75"/>
    <w:rsid w:val="005A543A"/>
    <w:rsid w:val="005B4F07"/>
    <w:rsid w:val="005E31F6"/>
    <w:rsid w:val="005E3FD9"/>
    <w:rsid w:val="005E5C59"/>
    <w:rsid w:val="00602EBB"/>
    <w:rsid w:val="0061388B"/>
    <w:rsid w:val="0062213A"/>
    <w:rsid w:val="006502EC"/>
    <w:rsid w:val="00682B91"/>
    <w:rsid w:val="00683783"/>
    <w:rsid w:val="00695E0C"/>
    <w:rsid w:val="006C77A9"/>
    <w:rsid w:val="00702BF0"/>
    <w:rsid w:val="00720063"/>
    <w:rsid w:val="00771AD7"/>
    <w:rsid w:val="007E25E5"/>
    <w:rsid w:val="007F4998"/>
    <w:rsid w:val="00822A73"/>
    <w:rsid w:val="00825414"/>
    <w:rsid w:val="0085219A"/>
    <w:rsid w:val="008729B2"/>
    <w:rsid w:val="008736E1"/>
    <w:rsid w:val="00886E65"/>
    <w:rsid w:val="008A5E36"/>
    <w:rsid w:val="008D03A0"/>
    <w:rsid w:val="00903C43"/>
    <w:rsid w:val="00913285"/>
    <w:rsid w:val="0092499D"/>
    <w:rsid w:val="00925789"/>
    <w:rsid w:val="00925C16"/>
    <w:rsid w:val="009316E9"/>
    <w:rsid w:val="0093649A"/>
    <w:rsid w:val="00946D4A"/>
    <w:rsid w:val="00954AB3"/>
    <w:rsid w:val="009B22C1"/>
    <w:rsid w:val="009E2BCF"/>
    <w:rsid w:val="00A079A5"/>
    <w:rsid w:val="00A12B51"/>
    <w:rsid w:val="00A156C5"/>
    <w:rsid w:val="00A43484"/>
    <w:rsid w:val="00AB371B"/>
    <w:rsid w:val="00AC02EC"/>
    <w:rsid w:val="00AC5ED4"/>
    <w:rsid w:val="00AD38F4"/>
    <w:rsid w:val="00AE653B"/>
    <w:rsid w:val="00AF6EB7"/>
    <w:rsid w:val="00B03449"/>
    <w:rsid w:val="00B03F09"/>
    <w:rsid w:val="00B07FEF"/>
    <w:rsid w:val="00B44121"/>
    <w:rsid w:val="00B54593"/>
    <w:rsid w:val="00B803C0"/>
    <w:rsid w:val="00B86180"/>
    <w:rsid w:val="00BA3E20"/>
    <w:rsid w:val="00BB2A05"/>
    <w:rsid w:val="00BC3A19"/>
    <w:rsid w:val="00BD6BC1"/>
    <w:rsid w:val="00C20EC4"/>
    <w:rsid w:val="00C26CF9"/>
    <w:rsid w:val="00C35BB9"/>
    <w:rsid w:val="00C46ED8"/>
    <w:rsid w:val="00C84972"/>
    <w:rsid w:val="00C87EC0"/>
    <w:rsid w:val="00CC0794"/>
    <w:rsid w:val="00CC574E"/>
    <w:rsid w:val="00CE32A6"/>
    <w:rsid w:val="00CE3DCA"/>
    <w:rsid w:val="00D32295"/>
    <w:rsid w:val="00D4614D"/>
    <w:rsid w:val="00D800A3"/>
    <w:rsid w:val="00DA23E3"/>
    <w:rsid w:val="00DB09B4"/>
    <w:rsid w:val="00DB1BA9"/>
    <w:rsid w:val="00DD006F"/>
    <w:rsid w:val="00DF3C38"/>
    <w:rsid w:val="00E41AFB"/>
    <w:rsid w:val="00E60BBA"/>
    <w:rsid w:val="00E61965"/>
    <w:rsid w:val="00E621D8"/>
    <w:rsid w:val="00E66376"/>
    <w:rsid w:val="00E75DE0"/>
    <w:rsid w:val="00E81221"/>
    <w:rsid w:val="00ED42EC"/>
    <w:rsid w:val="00ED44D3"/>
    <w:rsid w:val="00ED648B"/>
    <w:rsid w:val="00EE7B1D"/>
    <w:rsid w:val="00EF564A"/>
    <w:rsid w:val="00F116E2"/>
    <w:rsid w:val="00F22634"/>
    <w:rsid w:val="00F26D13"/>
    <w:rsid w:val="00F552EC"/>
    <w:rsid w:val="00F817E5"/>
    <w:rsid w:val="00FD1F66"/>
    <w:rsid w:val="00FD7B27"/>
    <w:rsid w:val="00FE3B3D"/>
    <w:rsid w:val="00FF2F6D"/>
    <w:rsid w:val="00FF3DE6"/>
    <w:rsid w:val="0AB05B99"/>
    <w:rsid w:val="11005F42"/>
    <w:rsid w:val="11D64B1D"/>
    <w:rsid w:val="17792B50"/>
    <w:rsid w:val="1AC9700C"/>
    <w:rsid w:val="1FF50C78"/>
    <w:rsid w:val="23671B57"/>
    <w:rsid w:val="276B59B2"/>
    <w:rsid w:val="28E55886"/>
    <w:rsid w:val="2BD83B03"/>
    <w:rsid w:val="2C3542B5"/>
    <w:rsid w:val="2D6A6127"/>
    <w:rsid w:val="350A4D60"/>
    <w:rsid w:val="37B7135C"/>
    <w:rsid w:val="382C7633"/>
    <w:rsid w:val="3BF87A6A"/>
    <w:rsid w:val="3C54336C"/>
    <w:rsid w:val="401871FE"/>
    <w:rsid w:val="42D63DB9"/>
    <w:rsid w:val="43650588"/>
    <w:rsid w:val="43856324"/>
    <w:rsid w:val="445B0470"/>
    <w:rsid w:val="44FD59EE"/>
    <w:rsid w:val="454977CF"/>
    <w:rsid w:val="497A18C2"/>
    <w:rsid w:val="49C00205"/>
    <w:rsid w:val="4CCB5BAA"/>
    <w:rsid w:val="4CF538EC"/>
    <w:rsid w:val="4E6F28D5"/>
    <w:rsid w:val="4FA7587D"/>
    <w:rsid w:val="52AF0D01"/>
    <w:rsid w:val="598540DF"/>
    <w:rsid w:val="5C75170B"/>
    <w:rsid w:val="5DD03F8C"/>
    <w:rsid w:val="622219FE"/>
    <w:rsid w:val="63A311EF"/>
    <w:rsid w:val="65FA1112"/>
    <w:rsid w:val="67575533"/>
    <w:rsid w:val="6BAC2690"/>
    <w:rsid w:val="6C66622A"/>
    <w:rsid w:val="6D6652BB"/>
    <w:rsid w:val="717A563F"/>
    <w:rsid w:val="74830F5C"/>
    <w:rsid w:val="784753B5"/>
    <w:rsid w:val="7A392450"/>
    <w:rsid w:val="7AE02AD7"/>
    <w:rsid w:val="7EA201C7"/>
    <w:rsid w:val="7EF63A0D"/>
    <w:rsid w:val="7F0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20"/>
    <w:unhideWhenUsed/>
    <w:qFormat/>
    <w:uiPriority w:val="99"/>
    <w:pPr>
      <w:spacing w:after="120"/>
    </w:pPr>
  </w:style>
  <w:style w:type="paragraph" w:styleId="4">
    <w:name w:val="Body Text Indent"/>
    <w:basedOn w:val="1"/>
    <w:link w:val="21"/>
    <w:qFormat/>
    <w:uiPriority w:val="0"/>
    <w:pPr>
      <w:ind w:firstLine="640" w:firstLineChars="200"/>
    </w:pPr>
    <w:rPr>
      <w:rFonts w:ascii="方正楷体_GB2312" w:eastAsia="方正楷体_GB2312"/>
      <w:sz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Body Text First Indent 2"/>
    <w:basedOn w:val="4"/>
    <w:link w:val="22"/>
    <w:qFormat/>
    <w:uiPriority w:val="99"/>
    <w:pPr>
      <w:spacing w:after="120"/>
      <w:ind w:left="420" w:leftChars="200" w:firstLine="420"/>
    </w:pPr>
    <w:rPr>
      <w:rFonts w:hAnsi="方正楷体_GB2312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 Char5"/>
    <w:basedOn w:val="2"/>
    <w:qFormat/>
    <w:uiPriority w:val="0"/>
    <w:rPr>
      <w:rFonts w:eastAsia="方正楷体_GB2312"/>
      <w:sz w:val="32"/>
      <w:szCs w:val="32"/>
    </w:rPr>
  </w:style>
  <w:style w:type="character" w:customStyle="1" w:styleId="16">
    <w:name w:val="纯文本 Char"/>
    <w:basedOn w:val="12"/>
    <w:link w:val="5"/>
    <w:qFormat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Char"/>
    <w:basedOn w:val="12"/>
    <w:link w:val="3"/>
    <w:uiPriority w:val="99"/>
    <w:rPr>
      <w:kern w:val="2"/>
      <w:sz w:val="21"/>
      <w:szCs w:val="24"/>
    </w:rPr>
  </w:style>
  <w:style w:type="character" w:customStyle="1" w:styleId="21">
    <w:name w:val="正文文本缩进 Char"/>
    <w:basedOn w:val="12"/>
    <w:link w:val="4"/>
    <w:uiPriority w:val="0"/>
    <w:rPr>
      <w:rFonts w:ascii="方正楷体_GB2312" w:eastAsia="方正楷体_GB2312"/>
      <w:kern w:val="2"/>
      <w:sz w:val="32"/>
      <w:szCs w:val="24"/>
    </w:rPr>
  </w:style>
  <w:style w:type="character" w:customStyle="1" w:styleId="22">
    <w:name w:val="正文首行缩进 2 Char"/>
    <w:basedOn w:val="21"/>
    <w:link w:val="10"/>
    <w:qFormat/>
    <w:uiPriority w:val="0"/>
    <w:rPr>
      <w:rFonts w:ascii="方正楷体_GB2312" w:eastAsia="方正楷体_GB2312"/>
      <w:kern w:val="2"/>
      <w:sz w:val="32"/>
      <w:szCs w:val="24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24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008BA-80D5-4C5A-966E-3E06EBB92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477</Words>
  <Characters>2725</Characters>
  <Lines>22</Lines>
  <Paragraphs>6</Paragraphs>
  <TotalTime>3</TotalTime>
  <ScaleCrop>false</ScaleCrop>
  <LinksUpToDate>false</LinksUpToDate>
  <CharactersWithSpaces>3196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2022-03-29T02:08:00Z</dcterms:created>
  <dc:creator>微软用户</dc:creator>
  <cp:lastModifiedBy>李洁</cp:lastModifiedBy>
  <cp:lastPrinted>2022-08-18T03:39:20Z</cp:lastPrinted>
  <dcterms:modified xsi:type="dcterms:W3CDTF">2022-08-18T03:42:02Z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FE8BD2A0110B44638EE0501D4AF21A07</vt:lpwstr>
  </property>
</Properties>
</file>