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153"/>
          <w:tab w:val="right" w:pos="8306"/>
        </w:tabs>
        <w:jc w:val="center"/>
        <w:rPr>
          <w:rFonts w:ascii="方正小标宋简体" w:eastAsia="方正小标宋简体" w:hAnsiTheme="majorHAnsi" w:cstheme="majorBidi"/>
          <w:bCs/>
          <w:sz w:val="44"/>
          <w:szCs w:val="44"/>
        </w:rPr>
      </w:pPr>
      <w:r>
        <w:rPr>
          <w:sz w:val="96"/>
        </w:rPr>
        <mc:AlternateContent>
          <mc:Choice Requires="wps">
            <w:drawing>
              <wp:anchor distT="0" distB="0" distL="114300" distR="114300" simplePos="0" relativeHeight="251659264" behindDoc="0" locked="0" layoutInCell="1" allowOverlap="1">
                <wp:simplePos x="0" y="0"/>
                <wp:positionH relativeFrom="column">
                  <wp:posOffset>53340</wp:posOffset>
                </wp:positionH>
                <wp:positionV relativeFrom="paragraph">
                  <wp:posOffset>850265</wp:posOffset>
                </wp:positionV>
                <wp:extent cx="5183505" cy="0"/>
                <wp:effectExtent l="0" t="13970" r="17145" b="24130"/>
                <wp:wrapNone/>
                <wp:docPr id="3" name="直接连接符 3"/>
                <wp:cNvGraphicFramePr/>
                <a:graphic xmlns:a="http://schemas.openxmlformats.org/drawingml/2006/main">
                  <a:graphicData uri="http://schemas.microsoft.com/office/word/2010/wordprocessingShape">
                    <wps:wsp>
                      <wps:cNvCnPr/>
                      <wps:spPr>
                        <a:xfrm>
                          <a:off x="1196340" y="1764665"/>
                          <a:ext cx="5183505" cy="0"/>
                        </a:xfrm>
                        <a:prstGeom prst="line">
                          <a:avLst/>
                        </a:prstGeom>
                        <a:noFill/>
                        <a:ln w="28575" cap="flat" cmpd="thickThin" algn="ctr">
                          <a:solidFill>
                            <a:srgbClr val="FF0000"/>
                          </a:solidFill>
                          <a:prstDash val="solid"/>
                          <a:miter lim="800000"/>
                        </a:ln>
                        <a:effectLst/>
                      </wps:spPr>
                      <wps:bodyPr/>
                    </wps:wsp>
                  </a:graphicData>
                </a:graphic>
              </wp:anchor>
            </w:drawing>
          </mc:Choice>
          <mc:Fallback>
            <w:pict>
              <v:line id="_x0000_s1026" o:spid="_x0000_s1026" o:spt="20" style="position:absolute;left:0pt;margin-left:4.2pt;margin-top:66.95pt;height:0pt;width:408.15pt;z-index:251659264;mso-width-relative:page;mso-height-relative:page;" filled="f" stroked="t" coordsize="21600,21600" o:gfxdata="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FGaZOnVAAAACQEAAA8AAAAAAAAAAQAgAAAAIgAAAGRycy9kb3ducmV2&#10;LnhtbFBLAQIUABQAAAAIAIdO4kCSkqLn/wEAANIDAAAOAAAAAAAAAAEAIAAAACQBAABkcnMvZTJv&#10;RG9jLnhtbFBLBQYAAAAABgAGAFkBAACVBQAAAAA=&#10;">
                <v:fill on="f" focussize="0,0"/>
                <v:stroke weight="2.25pt" color="#FF0000" linestyle="thickThin" miterlimit="8" joinstyle="miter"/>
                <v:imagedata o:title=""/>
                <o:lock v:ext="edit" aspectratio="f"/>
              </v:line>
            </w:pict>
          </mc:Fallback>
        </mc:AlternateContent>
      </w:r>
      <w:r>
        <w:rPr>
          <w:rFonts w:hint="eastAsia" w:ascii="方正小标宋简体" w:hAnsi="方正小标宋简体" w:eastAsia="方正小标宋简体" w:cs="方正小标宋简体"/>
          <w:color w:val="FF0000"/>
          <w:spacing w:val="1"/>
          <w:w w:val="40"/>
          <w:kern w:val="0"/>
          <w:sz w:val="96"/>
          <w:szCs w:val="96"/>
          <w:fitText w:val="7854" w:id="67067884"/>
        </w:rPr>
        <w:t>历下区社会信用体系建设工作领导小组办公</w:t>
      </w:r>
      <w:r>
        <w:rPr>
          <w:rFonts w:hint="eastAsia" w:ascii="方正小标宋简体" w:hAnsi="方正小标宋简体" w:eastAsia="方正小标宋简体" w:cs="方正小标宋简体"/>
          <w:color w:val="FF0000"/>
          <w:spacing w:val="83"/>
          <w:w w:val="40"/>
          <w:kern w:val="0"/>
          <w:sz w:val="96"/>
          <w:szCs w:val="96"/>
          <w:fitText w:val="7854" w:id="67067884"/>
        </w:rPr>
        <w:t>室</w:t>
      </w:r>
    </w:p>
    <w:p>
      <w:pPr>
        <w:rPr>
          <w:rFonts w:hint="eastAsia"/>
          <w:lang w:eastAsia="zh-CN"/>
        </w:rPr>
      </w:pPr>
    </w:p>
    <w:p>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历下区关于支持全国中小企业融资综合信用服务平台有关事项的通知</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各有关部门（单位）：</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为加快推进全国</w:t>
      </w:r>
      <w:r>
        <w:rPr>
          <w:rFonts w:hint="eastAsia" w:ascii="仿宋" w:hAnsi="仿宋" w:eastAsia="仿宋" w:cs="仿宋"/>
          <w:sz w:val="32"/>
          <w:szCs w:val="32"/>
          <w:lang w:eastAsia="zh-CN"/>
        </w:rPr>
        <w:t>中小企业融资综合信用服务平台（简称</w:t>
      </w:r>
      <w:bookmarkStart w:id="0" w:name="_GoBack"/>
      <w:bookmarkEnd w:id="0"/>
      <w:r>
        <w:rPr>
          <w:rFonts w:hint="eastAsia" w:ascii="仿宋" w:hAnsi="仿宋" w:eastAsia="仿宋" w:cs="仿宋"/>
          <w:sz w:val="32"/>
          <w:szCs w:val="32"/>
          <w:lang w:val="en-US" w:eastAsia="zh-CN"/>
        </w:rPr>
        <w:t>“信易贷”平台）在我区落地并产生实效，现将济南市人民政府办公厅</w:t>
      </w:r>
      <w:r>
        <w:rPr>
          <w:rFonts w:hint="eastAsia" w:ascii="仿宋" w:hAnsi="仿宋" w:eastAsia="仿宋" w:cs="仿宋"/>
          <w:sz w:val="32"/>
          <w:szCs w:val="32"/>
          <w:lang w:eastAsia="zh-CN"/>
        </w:rPr>
        <w:t>《关于支持全国中小企业融资综合信用服务平台有关事项的通知》转发于你们，请各部门（单位）认真落实，</w:t>
      </w:r>
      <w:r>
        <w:rPr>
          <w:rFonts w:hint="eastAsia" w:ascii="仿宋" w:hAnsi="仿宋" w:eastAsia="仿宋" w:cs="仿宋"/>
          <w:sz w:val="32"/>
          <w:szCs w:val="32"/>
          <w:lang w:val="en-US" w:eastAsia="zh-CN"/>
        </w:rPr>
        <w:t>鼓励辖区企业入驻、使用“信易贷”平台。下一步，我区将适时召开全区“信易贷”平台推介会，提高金融服务实体经济质效。</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“信易贷”平台网址：</w:t>
      </w:r>
      <w:r>
        <w:rPr>
          <w:rFonts w:hint="eastAsia" w:ascii="仿宋" w:hAnsi="仿宋" w:eastAsia="仿宋" w:cs="仿宋"/>
          <w:color w:val="auto"/>
          <w:sz w:val="32"/>
          <w:szCs w:val="32"/>
          <w:u w:val="none"/>
          <w:lang w:val="en-US" w:eastAsia="zh-CN"/>
        </w:rPr>
        <w:t>http://www.celoan.cn/?city=Jinan</w:t>
      </w:r>
      <w:r>
        <w:rPr>
          <w:rFonts w:hint="eastAsia" w:ascii="仿宋" w:hAnsi="仿宋" w:eastAsia="仿宋" w:cs="仿宋"/>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“信易贷”平台微信公众号</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val="en-US" w:eastAsia="zh-CN"/>
        </w:rPr>
        <w:drawing>
          <wp:inline distT="0" distB="0" distL="114300" distR="114300">
            <wp:extent cx="1903730" cy="2242185"/>
            <wp:effectExtent l="0" t="0" r="1270" b="5715"/>
            <wp:docPr id="2" name="图片 2" descr="微信图片_202007211129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00721112918"/>
                    <pic:cNvPicPr>
                      <a:picLocks noChangeAspect="1"/>
                    </pic:cNvPicPr>
                  </pic:nvPicPr>
                  <pic:blipFill>
                    <a:blip r:embed="rId4"/>
                    <a:stretch>
                      <a:fillRect/>
                    </a:stretch>
                  </pic:blipFill>
                  <pic:spPr>
                    <a:xfrm>
                      <a:off x="0" y="0"/>
                      <a:ext cx="1903730" cy="224218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附件：济南市人民政府办公厅《关于支持全国中小企业融资综合信用服务平台有关事项的通知》                                 </w:t>
      </w:r>
    </w:p>
    <w:p>
      <w:pPr>
        <w:keepNext w:val="0"/>
        <w:keepLines w:val="0"/>
        <w:pageBreakBefore w:val="0"/>
        <w:widowControl w:val="0"/>
        <w:kinsoku/>
        <w:wordWrap/>
        <w:overflowPunct/>
        <w:topLinePunct w:val="0"/>
        <w:autoSpaceDE/>
        <w:autoSpaceDN/>
        <w:bidi w:val="0"/>
        <w:adjustRightInd/>
        <w:snapToGrid/>
        <w:spacing w:line="520" w:lineRule="exact"/>
        <w:ind w:firstLine="5440" w:firstLineChars="17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历下区信用办</w:t>
      </w:r>
    </w:p>
    <w:p>
      <w:pPr>
        <w:keepNext w:val="0"/>
        <w:keepLines w:val="0"/>
        <w:pageBreakBefore w:val="0"/>
        <w:widowControl w:val="0"/>
        <w:kinsoku/>
        <w:wordWrap/>
        <w:overflowPunct/>
        <w:topLinePunct w:val="0"/>
        <w:autoSpaceDE/>
        <w:autoSpaceDN/>
        <w:bidi w:val="0"/>
        <w:adjustRightInd/>
        <w:snapToGrid/>
        <w:spacing w:line="520" w:lineRule="exact"/>
        <w:ind w:firstLine="5120" w:firstLineChars="16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2020年7月21日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Calibri Light">
    <w:panose1 w:val="020F0302020204030204"/>
    <w:charset w:val="00"/>
    <w:family w:val="swiss"/>
    <w:pitch w:val="default"/>
    <w:sig w:usb0="A00002EF" w:usb1="4000207B" w:usb2="00000000"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E7113DB"/>
    <w:rsid w:val="19EC7B96"/>
    <w:rsid w:val="21D64EF3"/>
    <w:rsid w:val="27A0213D"/>
    <w:rsid w:val="332D04B8"/>
    <w:rsid w:val="481211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Hyperlink"/>
    <w:basedOn w:val="3"/>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木小南</cp:lastModifiedBy>
  <dcterms:modified xsi:type="dcterms:W3CDTF">2022-03-22T02:41:50Z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2052-11.1.0.11566</vt:lpwstr>
  </property>
  <property fmtid="{D5CDD505-2E9C-101B-9397-08002B2CF9AE}" pid="3" name="ICV">
    <vt:lpwstr>2AAAEACF896D400593FC80EC56DE5CD3</vt:lpwstr>
  </property>
</Properties>
</file>